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91A9A" w14:textId="77777777" w:rsidR="00F12A0E" w:rsidRPr="000B2596" w:rsidRDefault="00F12A0E">
      <w:pPr>
        <w:spacing w:before="2"/>
        <w:rPr>
          <w:rFonts w:asciiTheme="minorHAnsi" w:hAnsiTheme="minorHAnsi" w:cstheme="minorHAnsi"/>
          <w:b/>
          <w:sz w:val="16"/>
        </w:rPr>
      </w:pPr>
    </w:p>
    <w:p w14:paraId="296E3DB2" w14:textId="77777777" w:rsidR="00B8234F" w:rsidRPr="000B2596"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B2596">
        <w:rPr>
          <w:rFonts w:asciiTheme="minorHAnsi" w:hAnsiTheme="minorHAnsi" w:cstheme="minorHAnsi"/>
          <w:b/>
          <w:sz w:val="28"/>
          <w:szCs w:val="28"/>
        </w:rPr>
        <w:t xml:space="preserve">Introduction </w:t>
      </w:r>
    </w:p>
    <w:p w14:paraId="05418E8A" w14:textId="77777777" w:rsidR="00EE1E82" w:rsidRPr="000B2596" w:rsidRDefault="00320E3A" w:rsidP="00A47DB3">
      <w:pPr>
        <w:spacing w:before="100" w:beforeAutospacing="1" w:after="100" w:afterAutospacing="1"/>
        <w:jc w:val="both"/>
        <w:rPr>
          <w:rFonts w:asciiTheme="minorHAnsi" w:hAnsiTheme="minorHAnsi" w:cstheme="minorHAnsi"/>
          <w:b/>
          <w:color w:val="043249"/>
          <w:sz w:val="28"/>
          <w:szCs w:val="28"/>
        </w:rPr>
      </w:pPr>
      <w:r w:rsidRPr="000B2596">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r w:rsidR="00EE1E82" w:rsidRPr="000B2596">
        <w:rPr>
          <w:rFonts w:asciiTheme="minorHAnsi" w:hAnsiTheme="minorHAnsi" w:cstheme="minorHAnsi"/>
          <w:b/>
          <w:color w:val="043249"/>
          <w:sz w:val="28"/>
          <w:szCs w:val="28"/>
        </w:rPr>
        <w:t xml:space="preserve"> </w:t>
      </w:r>
    </w:p>
    <w:p w14:paraId="3F05F270" w14:textId="77777777" w:rsidR="000D6171" w:rsidRDefault="00B76C71" w:rsidP="00B76C71">
      <w:pPr>
        <w:jc w:val="both"/>
        <w:rPr>
          <w:rFonts w:asciiTheme="minorHAnsi" w:hAnsiTheme="minorHAnsi" w:cstheme="minorHAnsi"/>
          <w:b/>
          <w:color w:val="043249"/>
          <w:sz w:val="28"/>
          <w:szCs w:val="28"/>
        </w:rPr>
      </w:pPr>
      <w:r w:rsidRPr="000B2596">
        <w:rPr>
          <w:rFonts w:asciiTheme="minorHAnsi" w:hAnsiTheme="minorHAnsi" w:cstheme="minorHAnsi"/>
          <w:b/>
          <w:color w:val="043249"/>
          <w:sz w:val="28"/>
          <w:szCs w:val="28"/>
        </w:rPr>
        <w:t>KHPT is in the process of receiving the TIFA grant to implement the SAFE (Screening, Assessment, Follow-up &amp; Effective Preventive Treatment for TB) project across selected private health facilities in Karnataka and Telangana. The project aims to establish and operationalize SAFE-TB Hubs to strengthen TB preventive treatment services among household and close contacts of people with TB through structured screening, testing, follow-up, digital innovations, and person-centric adherence support in alignment with NTEP priorities. This is an 11-month project focused on enhancing private sector engagement and improving access to quality TB preventive care.</w:t>
      </w:r>
      <w:r w:rsidR="000D6171">
        <w:rPr>
          <w:rFonts w:asciiTheme="minorHAnsi" w:hAnsiTheme="minorHAnsi" w:cstheme="minorHAnsi"/>
          <w:b/>
          <w:color w:val="043249"/>
          <w:sz w:val="28"/>
          <w:szCs w:val="28"/>
        </w:rPr>
        <w:t xml:space="preserve"> </w:t>
      </w:r>
    </w:p>
    <w:p w14:paraId="62329644" w14:textId="77777777" w:rsidR="00B76C71" w:rsidRPr="000B2596" w:rsidRDefault="000D6171" w:rsidP="00B76C71">
      <w:pPr>
        <w:jc w:val="both"/>
        <w:rPr>
          <w:rFonts w:asciiTheme="minorHAnsi" w:hAnsiTheme="minorHAnsi" w:cstheme="minorHAnsi"/>
          <w:b/>
          <w:color w:val="043249"/>
          <w:sz w:val="28"/>
          <w:szCs w:val="28"/>
        </w:rPr>
      </w:pPr>
      <w:r w:rsidRPr="000D6171">
        <w:rPr>
          <w:rFonts w:asciiTheme="minorHAnsi" w:hAnsiTheme="minorHAnsi" w:cstheme="minorHAnsi"/>
          <w:b/>
          <w:color w:val="043249"/>
          <w:sz w:val="28"/>
          <w:szCs w:val="28"/>
          <w:u w:val="single"/>
        </w:rPr>
        <w:t>Note</w:t>
      </w:r>
      <w:r>
        <w:rPr>
          <w:rFonts w:asciiTheme="minorHAnsi" w:hAnsiTheme="minorHAnsi" w:cstheme="minorHAnsi"/>
          <w:b/>
          <w:color w:val="043249"/>
          <w:sz w:val="28"/>
          <w:szCs w:val="28"/>
        </w:rPr>
        <w:t xml:space="preserve">: </w:t>
      </w:r>
      <w:r w:rsidRPr="000D6171">
        <w:rPr>
          <w:rFonts w:asciiTheme="minorHAnsi" w:hAnsiTheme="minorHAnsi" w:cstheme="minorHAnsi"/>
          <w:b/>
          <w:color w:val="043249"/>
          <w:sz w:val="28"/>
          <w:szCs w:val="28"/>
        </w:rPr>
        <w:t>Onboarding of the selected candidate will be subject to the approval of the TIFA grant.</w:t>
      </w:r>
    </w:p>
    <w:p w14:paraId="49BB97E7" w14:textId="77777777" w:rsidR="006366FF" w:rsidRPr="000B2596" w:rsidRDefault="003A7BCA" w:rsidP="006366FF">
      <w:pPr>
        <w:tabs>
          <w:tab w:val="left" w:pos="795"/>
          <w:tab w:val="left" w:pos="796"/>
        </w:tabs>
        <w:spacing w:before="196" w:line="278" w:lineRule="auto"/>
        <w:ind w:right="405"/>
        <w:rPr>
          <w:rFonts w:asciiTheme="minorHAnsi" w:hAnsiTheme="minorHAnsi" w:cstheme="minorHAnsi"/>
          <w:b/>
          <w:bCs/>
          <w:color w:val="037E57"/>
          <w:sz w:val="36"/>
          <w:szCs w:val="36"/>
          <w:u w:val="single"/>
        </w:rPr>
      </w:pPr>
      <w:r w:rsidRPr="000B2596">
        <w:rPr>
          <w:rFonts w:asciiTheme="minorHAnsi" w:hAnsiTheme="minorHAnsi" w:cstheme="minorHAnsi"/>
          <w:b/>
          <w:bCs/>
          <w:color w:val="037E57"/>
          <w:sz w:val="36"/>
          <w:szCs w:val="36"/>
          <w:u w:val="single"/>
        </w:rPr>
        <w:t>Project Implementation Lead</w:t>
      </w:r>
      <w:r w:rsidR="006366FF" w:rsidRPr="000B2596">
        <w:rPr>
          <w:rFonts w:asciiTheme="minorHAnsi" w:hAnsiTheme="minorHAnsi" w:cstheme="minorHAnsi"/>
          <w:b/>
          <w:bCs/>
          <w:color w:val="037E57"/>
          <w:sz w:val="36"/>
          <w:szCs w:val="36"/>
          <w:u w:val="single"/>
        </w:rPr>
        <w:t>- SAFE TB Hubs</w:t>
      </w:r>
      <w:r w:rsidRPr="000B2596">
        <w:rPr>
          <w:rFonts w:asciiTheme="minorHAnsi" w:hAnsiTheme="minorHAnsi" w:cstheme="minorHAnsi"/>
          <w:b/>
          <w:bCs/>
          <w:color w:val="037E57"/>
          <w:sz w:val="36"/>
          <w:szCs w:val="36"/>
          <w:u w:val="single"/>
        </w:rPr>
        <w:t xml:space="preserve"> in </w:t>
      </w:r>
      <w:r w:rsidR="006366FF" w:rsidRPr="000B2596">
        <w:rPr>
          <w:rFonts w:asciiTheme="minorHAnsi" w:hAnsiTheme="minorHAnsi" w:cstheme="minorHAnsi"/>
          <w:b/>
          <w:bCs/>
          <w:color w:val="037E57"/>
          <w:sz w:val="36"/>
          <w:szCs w:val="36"/>
          <w:u w:val="single"/>
        </w:rPr>
        <w:t xml:space="preserve">Private Sector </w:t>
      </w:r>
    </w:p>
    <w:p w14:paraId="3CBF53A8" w14:textId="77777777" w:rsidR="006366FF" w:rsidRPr="000B2596" w:rsidRDefault="00031EE7" w:rsidP="007F346F">
      <w:pPr>
        <w:tabs>
          <w:tab w:val="left" w:pos="795"/>
          <w:tab w:val="left" w:pos="796"/>
        </w:tabs>
        <w:ind w:right="405"/>
        <w:rPr>
          <w:rFonts w:asciiTheme="minorHAnsi" w:hAnsiTheme="minorHAnsi" w:cstheme="minorHAnsi"/>
          <w:b/>
          <w:color w:val="037E57"/>
          <w:sz w:val="24"/>
          <w:szCs w:val="24"/>
        </w:rPr>
      </w:pPr>
      <w:r w:rsidRPr="000B2596">
        <w:rPr>
          <w:rFonts w:asciiTheme="minorHAnsi" w:hAnsiTheme="minorHAnsi" w:cstheme="minorHAnsi"/>
          <w:b/>
          <w:color w:val="037E57"/>
          <w:sz w:val="24"/>
          <w:szCs w:val="24"/>
        </w:rPr>
        <w:t>Positions:</w:t>
      </w:r>
      <w:r w:rsidR="003A7BCA" w:rsidRPr="000B2596">
        <w:rPr>
          <w:rFonts w:asciiTheme="minorHAnsi" w:hAnsiTheme="minorHAnsi" w:cstheme="minorHAnsi"/>
          <w:b/>
          <w:color w:val="037E57"/>
          <w:sz w:val="24"/>
          <w:szCs w:val="24"/>
        </w:rPr>
        <w:t xml:space="preserve"> 1</w:t>
      </w:r>
    </w:p>
    <w:p w14:paraId="12F92C99" w14:textId="77777777" w:rsidR="003A7BCA" w:rsidRPr="000B2596" w:rsidRDefault="00031EE7" w:rsidP="008E5CDA">
      <w:pPr>
        <w:tabs>
          <w:tab w:val="left" w:pos="795"/>
          <w:tab w:val="left" w:pos="796"/>
        </w:tabs>
        <w:ind w:right="405"/>
        <w:rPr>
          <w:rFonts w:asciiTheme="minorHAnsi" w:hAnsiTheme="minorHAnsi" w:cstheme="minorHAnsi"/>
          <w:b/>
          <w:color w:val="037E57"/>
          <w:sz w:val="24"/>
          <w:szCs w:val="24"/>
        </w:rPr>
      </w:pPr>
      <w:r w:rsidRPr="000B2596">
        <w:rPr>
          <w:rFonts w:asciiTheme="minorHAnsi" w:hAnsiTheme="minorHAnsi" w:cstheme="minorHAnsi"/>
          <w:b/>
          <w:color w:val="037E57"/>
          <w:sz w:val="24"/>
          <w:szCs w:val="24"/>
        </w:rPr>
        <w:t>Location:</w:t>
      </w:r>
      <w:r w:rsidR="001151CC" w:rsidRPr="000B2596">
        <w:rPr>
          <w:rFonts w:asciiTheme="minorHAnsi" w:hAnsiTheme="minorHAnsi" w:cstheme="minorHAnsi"/>
          <w:b/>
          <w:color w:val="037E57"/>
          <w:sz w:val="24"/>
          <w:szCs w:val="24"/>
        </w:rPr>
        <w:t xml:space="preserve"> </w:t>
      </w:r>
      <w:r w:rsidR="003A7BCA" w:rsidRPr="000B2596">
        <w:rPr>
          <w:rFonts w:asciiTheme="minorHAnsi" w:hAnsiTheme="minorHAnsi" w:cstheme="minorHAnsi"/>
          <w:b/>
          <w:color w:val="037E57"/>
          <w:sz w:val="24"/>
          <w:szCs w:val="24"/>
        </w:rPr>
        <w:t>Bengaluru / Hyderabad, with extensive travel across project districts in Karnataka and Telangana.</w:t>
      </w:r>
    </w:p>
    <w:p w14:paraId="7C30B7E1" w14:textId="77777777" w:rsidR="000B2596" w:rsidRPr="000B2596" w:rsidRDefault="000B2596" w:rsidP="000B2596">
      <w:pPr>
        <w:tabs>
          <w:tab w:val="left" w:pos="795"/>
          <w:tab w:val="left" w:pos="796"/>
        </w:tabs>
        <w:spacing w:before="196" w:line="278" w:lineRule="auto"/>
        <w:jc w:val="both"/>
        <w:rPr>
          <w:rFonts w:asciiTheme="minorHAnsi" w:hAnsiTheme="minorHAnsi" w:cstheme="minorHAnsi"/>
          <w:b/>
          <w:color w:val="043249"/>
          <w:sz w:val="28"/>
          <w:szCs w:val="28"/>
        </w:rPr>
      </w:pPr>
      <w:r w:rsidRPr="000B2596">
        <w:rPr>
          <w:rFonts w:asciiTheme="minorHAnsi" w:hAnsiTheme="minorHAnsi" w:cstheme="minorHAnsi"/>
          <w:b/>
          <w:color w:val="043249"/>
          <w:sz w:val="28"/>
          <w:szCs w:val="28"/>
        </w:rPr>
        <w:t xml:space="preserve">KHPT seeking a Project Implementation Lead who will be responsible for the overall planning, implementation, and management of the SAFE TB Hubs project across Karnataka and Telangana. The role involves providing strategic leadership, coordinating with government and partner organizations, ensuring program quality and compliance, and driving the achievement of project goals. The position also requires strong stakeholder engagement, team management, and oversight of operational and administrative functions to ensure effective delivery of TB services </w:t>
      </w:r>
      <w:r w:rsidRPr="000B2596">
        <w:rPr>
          <w:rFonts w:asciiTheme="minorHAnsi" w:hAnsiTheme="minorHAnsi" w:cstheme="minorHAnsi"/>
          <w:b/>
          <w:color w:val="043249"/>
          <w:sz w:val="28"/>
          <w:szCs w:val="28"/>
        </w:rPr>
        <w:lastRenderedPageBreak/>
        <w:t>in alignment with national guidelines.</w:t>
      </w:r>
    </w:p>
    <w:p w14:paraId="6B9D0582" w14:textId="77777777" w:rsidR="006366FF" w:rsidRPr="000B2596" w:rsidRDefault="006366FF" w:rsidP="006366FF">
      <w:pPr>
        <w:tabs>
          <w:tab w:val="left" w:pos="795"/>
          <w:tab w:val="left" w:pos="796"/>
        </w:tabs>
        <w:ind w:right="405"/>
        <w:rPr>
          <w:rFonts w:asciiTheme="minorHAnsi" w:hAnsiTheme="minorHAnsi" w:cstheme="minorHAnsi"/>
          <w:b/>
          <w:color w:val="037E57"/>
          <w:sz w:val="24"/>
          <w:szCs w:val="24"/>
        </w:rPr>
      </w:pPr>
    </w:p>
    <w:p w14:paraId="01E92D90" w14:textId="77777777" w:rsidR="00203CF9" w:rsidRPr="000B2596" w:rsidRDefault="00E1402D" w:rsidP="00645E39">
      <w:pPr>
        <w:shd w:val="clear" w:color="auto" w:fill="E5B8B7" w:themeFill="accent2" w:themeFillTint="66"/>
        <w:jc w:val="both"/>
        <w:rPr>
          <w:rFonts w:asciiTheme="minorHAnsi" w:hAnsiTheme="minorHAnsi" w:cstheme="minorHAnsi"/>
          <w:b/>
          <w:bCs/>
          <w:sz w:val="24"/>
          <w:szCs w:val="24"/>
        </w:rPr>
      </w:pPr>
      <w:r w:rsidRPr="000B2596">
        <w:rPr>
          <w:rFonts w:asciiTheme="minorHAnsi" w:hAnsiTheme="minorHAnsi" w:cstheme="minorHAnsi"/>
          <w:b/>
          <w:bCs/>
          <w:sz w:val="24"/>
          <w:szCs w:val="24"/>
        </w:rPr>
        <w:t>Qualification, Skills &amp; Competencies</w:t>
      </w:r>
    </w:p>
    <w:p w14:paraId="69859EFD"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MBBS degree or a postgraduate qualification (MPH/MBA) with a background in Life Sciences, MSW, or M.A. Sociology. </w:t>
      </w:r>
    </w:p>
    <w:p w14:paraId="46313A29"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Minimum 5 years of experience (for MBBS candidates) or 10 years (for non-MBBS candidates) in public health programme implementation, including experience in managing field teams. </w:t>
      </w:r>
    </w:p>
    <w:p w14:paraId="6991171A"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Strong understanding of development sector principles, landscape, and relevant technical updates. </w:t>
      </w:r>
    </w:p>
    <w:p w14:paraId="7E3022F9"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Prior managerial experience and familiarity with TB programmes and private healthcare sector engagement are preferred. </w:t>
      </w:r>
    </w:p>
    <w:p w14:paraId="17BAA531"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Proficiency in computer applications, including MS Office, internet usage, and data analysis. </w:t>
      </w:r>
    </w:p>
    <w:p w14:paraId="6E6010A8"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Demonstrated ability to build and sustain collaborative relationships with stakeholders across government, private sector, civil society, and communities at State, Zonal, and District levels. </w:t>
      </w:r>
    </w:p>
    <w:p w14:paraId="766BDE49"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Experience in data review and programme management in coordination with M&amp;E teams; familiarity with the Nikshay portal is desirable. </w:t>
      </w:r>
    </w:p>
    <w:p w14:paraId="233B8E08"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Excellent written and verbal communication skills in English, along with working knowledge of Kannada and Telugu. </w:t>
      </w:r>
    </w:p>
    <w:p w14:paraId="3EC497F5"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Strong organizational skills with the ability to prioritize tasks and work effectively both independently and within a team in a multicultural environment. </w:t>
      </w:r>
    </w:p>
    <w:p w14:paraId="17065DAF"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Willingness to be based at a state headquarters and travel extensively to project locations. </w:t>
      </w:r>
    </w:p>
    <w:p w14:paraId="6A44C795" w14:textId="77777777" w:rsidR="002336FC" w:rsidRPr="000B2596" w:rsidRDefault="002336FC" w:rsidP="002336FC">
      <w:pPr>
        <w:pStyle w:val="ListParagraph"/>
        <w:tabs>
          <w:tab w:val="left" w:pos="720"/>
        </w:tabs>
        <w:spacing w:before="0" w:line="259" w:lineRule="auto"/>
        <w:ind w:left="720" w:right="115" w:firstLine="0"/>
        <w:contextualSpacing/>
        <w:jc w:val="both"/>
        <w:rPr>
          <w:rFonts w:asciiTheme="minorHAnsi" w:hAnsiTheme="minorHAnsi" w:cstheme="minorHAnsi"/>
          <w:sz w:val="24"/>
          <w:szCs w:val="24"/>
          <w:lang w:val="en-IN"/>
        </w:rPr>
      </w:pPr>
    </w:p>
    <w:p w14:paraId="6BA98421" w14:textId="77777777" w:rsidR="002336FC" w:rsidRPr="000B2596" w:rsidRDefault="002336FC" w:rsidP="002336FC">
      <w:pPr>
        <w:tabs>
          <w:tab w:val="left" w:pos="760"/>
          <w:tab w:val="left" w:pos="761"/>
        </w:tabs>
        <w:spacing w:line="259" w:lineRule="auto"/>
        <w:ind w:left="400" w:right="115"/>
        <w:jc w:val="both"/>
        <w:rPr>
          <w:rFonts w:asciiTheme="minorHAnsi" w:hAnsiTheme="minorHAnsi" w:cstheme="minorHAnsi"/>
          <w:b/>
          <w:bCs/>
          <w:sz w:val="28"/>
          <w:szCs w:val="28"/>
          <w:u w:val="single"/>
          <w:lang w:val="en-IN"/>
        </w:rPr>
      </w:pPr>
      <w:r w:rsidRPr="000B2596">
        <w:rPr>
          <w:rFonts w:asciiTheme="minorHAnsi" w:hAnsiTheme="minorHAnsi" w:cstheme="minorHAnsi"/>
          <w:b/>
          <w:bCs/>
          <w:sz w:val="28"/>
          <w:szCs w:val="28"/>
          <w:u w:val="single"/>
          <w:lang w:val="en-IN"/>
        </w:rPr>
        <w:t>Key Performance Expectations</w:t>
      </w:r>
    </w:p>
    <w:p w14:paraId="613EE07F" w14:textId="261C0480"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Functional establishment of 25 SAFE-TB Hubs + 15 additional SAFE-TB Hubs</w:t>
      </w:r>
      <w:r w:rsidR="00C5665C">
        <w:rPr>
          <w:rFonts w:asciiTheme="minorHAnsi" w:hAnsiTheme="minorHAnsi" w:cstheme="minorHAnsi"/>
          <w:sz w:val="24"/>
          <w:szCs w:val="24"/>
          <w:lang w:val="en-IN"/>
        </w:rPr>
        <w:t xml:space="preserve"> </w:t>
      </w:r>
      <w:r w:rsidRPr="000B2596">
        <w:rPr>
          <w:rFonts w:asciiTheme="minorHAnsi" w:hAnsiTheme="minorHAnsi" w:cstheme="minorHAnsi"/>
          <w:sz w:val="24"/>
          <w:szCs w:val="24"/>
          <w:lang w:val="en-IN"/>
        </w:rPr>
        <w:t xml:space="preserve">within project timelines </w:t>
      </w:r>
    </w:p>
    <w:p w14:paraId="44374160"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Timely execution of 7-1-7 / 7-4-7 cascades </w:t>
      </w:r>
    </w:p>
    <w:p w14:paraId="16D3E688"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High rates of TPT initiation and completion among eligible contacts </w:t>
      </w:r>
    </w:p>
    <w:p w14:paraId="5A3F9D09"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Strong private sector engagement and provider participation </w:t>
      </w:r>
    </w:p>
    <w:p w14:paraId="557853DC"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Effective use of digital systems for monitoring and adherence </w:t>
      </w:r>
    </w:p>
    <w:p w14:paraId="043606DA" w14:textId="77777777" w:rsidR="003A7BCA" w:rsidRPr="000B2596" w:rsidRDefault="003A7BCA" w:rsidP="003A7BCA">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Integration of hubs into NTEP systems for sustainability</w:t>
      </w:r>
    </w:p>
    <w:p w14:paraId="27B18A33" w14:textId="77777777" w:rsidR="003A7BCA" w:rsidRPr="000B2596" w:rsidRDefault="003A7BCA" w:rsidP="003A7BCA">
      <w:pPr>
        <w:pStyle w:val="ListParagraph"/>
        <w:tabs>
          <w:tab w:val="left" w:pos="760"/>
          <w:tab w:val="left" w:pos="761"/>
        </w:tabs>
        <w:spacing w:before="0" w:line="259" w:lineRule="auto"/>
        <w:ind w:left="760" w:right="115" w:firstLine="0"/>
        <w:contextualSpacing/>
        <w:jc w:val="both"/>
        <w:rPr>
          <w:rFonts w:asciiTheme="minorHAnsi" w:hAnsiTheme="minorHAnsi" w:cstheme="minorHAnsi"/>
          <w:sz w:val="24"/>
          <w:szCs w:val="24"/>
          <w:lang w:val="en-IN"/>
        </w:rPr>
      </w:pPr>
    </w:p>
    <w:p w14:paraId="610F986C" w14:textId="77777777" w:rsidR="00F12A0E" w:rsidRPr="000B2596" w:rsidRDefault="00EE1E82" w:rsidP="00787CC1">
      <w:pPr>
        <w:shd w:val="clear" w:color="auto" w:fill="E5B8B7" w:themeFill="accent2" w:themeFillTint="66"/>
        <w:tabs>
          <w:tab w:val="left" w:pos="709"/>
        </w:tabs>
        <w:rPr>
          <w:rFonts w:asciiTheme="minorHAnsi" w:hAnsiTheme="minorHAnsi" w:cstheme="minorHAnsi"/>
          <w:b/>
          <w:bCs/>
          <w:sz w:val="26"/>
          <w:szCs w:val="26"/>
        </w:rPr>
      </w:pPr>
      <w:r w:rsidRPr="000B2596">
        <w:rPr>
          <w:rFonts w:asciiTheme="minorHAnsi" w:hAnsiTheme="minorHAnsi" w:cstheme="minorHAnsi"/>
          <w:b/>
          <w:bCs/>
          <w:sz w:val="26"/>
          <w:szCs w:val="26"/>
        </w:rPr>
        <w:t>R</w:t>
      </w:r>
      <w:r w:rsidR="0027182B" w:rsidRPr="000B2596">
        <w:rPr>
          <w:rFonts w:asciiTheme="minorHAnsi" w:hAnsiTheme="minorHAnsi" w:cstheme="minorHAnsi"/>
          <w:b/>
          <w:bCs/>
          <w:sz w:val="26"/>
          <w:szCs w:val="26"/>
        </w:rPr>
        <w:t>oles and Responsibilities</w:t>
      </w:r>
    </w:p>
    <w:p w14:paraId="2E575588"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b/>
          <w:bCs/>
          <w:sz w:val="24"/>
          <w:szCs w:val="24"/>
          <w:lang w:val="en-IN"/>
        </w:rPr>
      </w:pPr>
      <w:r w:rsidRPr="000B2596">
        <w:rPr>
          <w:rFonts w:asciiTheme="minorHAnsi" w:hAnsiTheme="minorHAnsi" w:cstheme="minorHAnsi"/>
          <w:b/>
          <w:bCs/>
          <w:sz w:val="24"/>
          <w:szCs w:val="24"/>
          <w:lang w:val="en-IN"/>
        </w:rPr>
        <w:t>1. Programme Leadership &amp; SAFE-TB Hub Implementation</w:t>
      </w:r>
    </w:p>
    <w:p w14:paraId="67790444" w14:textId="77777777" w:rsidR="003A7BCA" w:rsidRPr="000B2596" w:rsidRDefault="003A7BCA" w:rsidP="003A7BCA">
      <w:pPr>
        <w:numPr>
          <w:ilvl w:val="0"/>
          <w:numId w:val="28"/>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Lead end-to-end establishment and operationalization of </w:t>
      </w:r>
      <w:r w:rsidRPr="000B2596">
        <w:rPr>
          <w:rFonts w:asciiTheme="minorHAnsi" w:hAnsiTheme="minorHAnsi" w:cstheme="minorHAnsi"/>
          <w:b/>
          <w:bCs/>
          <w:sz w:val="24"/>
          <w:szCs w:val="24"/>
          <w:lang w:val="en-IN"/>
        </w:rPr>
        <w:t>25 SAFE-TB Hubs</w:t>
      </w:r>
      <w:r w:rsidRPr="000B2596">
        <w:rPr>
          <w:rFonts w:asciiTheme="minorHAnsi" w:hAnsiTheme="minorHAnsi" w:cstheme="minorHAnsi"/>
          <w:sz w:val="24"/>
          <w:szCs w:val="24"/>
          <w:lang w:val="en-IN"/>
        </w:rPr>
        <w:t xml:space="preserve"> + 15 additional across designated districts in Karnataka and Telangana. </w:t>
      </w:r>
    </w:p>
    <w:p w14:paraId="28A597F2" w14:textId="77777777" w:rsidR="003A7BCA" w:rsidRPr="000B2596" w:rsidRDefault="003A7BCA" w:rsidP="003A7BCA">
      <w:pPr>
        <w:numPr>
          <w:ilvl w:val="0"/>
          <w:numId w:val="28"/>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Oversee transformation of high-notifying private facilities into SAFE-TB Hubs. </w:t>
      </w:r>
    </w:p>
    <w:p w14:paraId="73C2E053" w14:textId="77777777" w:rsidR="003A7BCA" w:rsidRPr="000B2596" w:rsidRDefault="003A7BCA" w:rsidP="003A7BCA">
      <w:pPr>
        <w:numPr>
          <w:ilvl w:val="0"/>
          <w:numId w:val="28"/>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Ensure implementation of standardized </w:t>
      </w:r>
      <w:r w:rsidRPr="000B2596">
        <w:rPr>
          <w:rFonts w:asciiTheme="minorHAnsi" w:hAnsiTheme="minorHAnsi" w:cstheme="minorHAnsi"/>
          <w:b/>
          <w:bCs/>
          <w:sz w:val="24"/>
          <w:szCs w:val="24"/>
          <w:lang w:val="en-IN"/>
        </w:rPr>
        <w:t>SOPs, workflows, and service delivery protocols</w:t>
      </w:r>
      <w:r w:rsidRPr="000B2596">
        <w:rPr>
          <w:rFonts w:asciiTheme="minorHAnsi" w:hAnsiTheme="minorHAnsi" w:cstheme="minorHAnsi"/>
          <w:sz w:val="24"/>
          <w:szCs w:val="24"/>
          <w:lang w:val="en-IN"/>
        </w:rPr>
        <w:t xml:space="preserve"> across all hubs. </w:t>
      </w:r>
    </w:p>
    <w:p w14:paraId="1624BFF3" w14:textId="77777777" w:rsidR="003A7BCA" w:rsidRPr="000B2596" w:rsidRDefault="003A7BCA" w:rsidP="003A7BCA">
      <w:pPr>
        <w:numPr>
          <w:ilvl w:val="0"/>
          <w:numId w:val="28"/>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Supervise deployment of </w:t>
      </w:r>
      <w:r w:rsidRPr="000B2596">
        <w:rPr>
          <w:rFonts w:asciiTheme="minorHAnsi" w:hAnsiTheme="minorHAnsi" w:cstheme="minorHAnsi"/>
          <w:b/>
          <w:bCs/>
          <w:sz w:val="24"/>
          <w:szCs w:val="24"/>
          <w:lang w:val="en-IN"/>
        </w:rPr>
        <w:t>OPD Kiosks, e-voucher systems, and digital tools</w:t>
      </w:r>
      <w:r w:rsidRPr="000B2596">
        <w:rPr>
          <w:rFonts w:asciiTheme="minorHAnsi" w:hAnsiTheme="minorHAnsi" w:cstheme="minorHAnsi"/>
          <w:sz w:val="24"/>
          <w:szCs w:val="24"/>
          <w:lang w:val="en-IN"/>
        </w:rPr>
        <w:t xml:space="preserve"> for contact screening and testing. </w:t>
      </w:r>
    </w:p>
    <w:p w14:paraId="1AE4810E" w14:textId="77777777" w:rsidR="003A7BCA" w:rsidRPr="000B2596" w:rsidRDefault="003A7BCA" w:rsidP="003A7BCA">
      <w:pPr>
        <w:numPr>
          <w:ilvl w:val="0"/>
          <w:numId w:val="28"/>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Ensure integration of </w:t>
      </w:r>
      <w:r w:rsidRPr="000B2596">
        <w:rPr>
          <w:rFonts w:asciiTheme="minorHAnsi" w:hAnsiTheme="minorHAnsi" w:cstheme="minorHAnsi"/>
          <w:b/>
          <w:bCs/>
          <w:sz w:val="24"/>
          <w:szCs w:val="24"/>
          <w:lang w:val="en-IN"/>
        </w:rPr>
        <w:t>Medical College Catalysts (MCCs)</w:t>
      </w:r>
      <w:r w:rsidRPr="000B2596">
        <w:rPr>
          <w:rFonts w:asciiTheme="minorHAnsi" w:hAnsiTheme="minorHAnsi" w:cstheme="minorHAnsi"/>
          <w:sz w:val="24"/>
          <w:szCs w:val="24"/>
          <w:lang w:val="en-IN"/>
        </w:rPr>
        <w:t xml:space="preserve"> to support standardization of TPT </w:t>
      </w:r>
      <w:r w:rsidRPr="000B2596">
        <w:rPr>
          <w:rFonts w:asciiTheme="minorHAnsi" w:hAnsiTheme="minorHAnsi" w:cstheme="minorHAnsi"/>
          <w:sz w:val="24"/>
          <w:szCs w:val="24"/>
          <w:lang w:val="en-IN"/>
        </w:rPr>
        <w:lastRenderedPageBreak/>
        <w:t xml:space="preserve">care. </w:t>
      </w:r>
    </w:p>
    <w:p w14:paraId="4B37BD44"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b/>
          <w:bCs/>
          <w:sz w:val="24"/>
          <w:szCs w:val="24"/>
          <w:lang w:val="en-IN"/>
        </w:rPr>
      </w:pPr>
    </w:p>
    <w:p w14:paraId="3464C8F9"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b/>
          <w:bCs/>
          <w:sz w:val="24"/>
          <w:szCs w:val="24"/>
          <w:lang w:val="en-IN"/>
        </w:rPr>
      </w:pPr>
      <w:r w:rsidRPr="000B2596">
        <w:rPr>
          <w:rFonts w:asciiTheme="minorHAnsi" w:hAnsiTheme="minorHAnsi" w:cstheme="minorHAnsi"/>
          <w:b/>
          <w:bCs/>
          <w:sz w:val="24"/>
          <w:szCs w:val="24"/>
          <w:lang w:val="en-IN"/>
        </w:rPr>
        <w:t>2. Implementation of 7-1-7 and 7-4-7 Frameworks</w:t>
      </w:r>
    </w:p>
    <w:p w14:paraId="197EC82F" w14:textId="77777777" w:rsidR="003A7BCA" w:rsidRPr="000B2596" w:rsidRDefault="003A7BCA" w:rsidP="003A7BCA">
      <w:pPr>
        <w:numPr>
          <w:ilvl w:val="0"/>
          <w:numId w:val="29"/>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Ensure strict adherence to: </w:t>
      </w:r>
    </w:p>
    <w:p w14:paraId="2FD270BE" w14:textId="77777777" w:rsidR="003A7BCA" w:rsidRPr="000B2596" w:rsidRDefault="003A7BCA" w:rsidP="003A7BCA">
      <w:pPr>
        <w:numPr>
          <w:ilvl w:val="1"/>
          <w:numId w:val="29"/>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b/>
          <w:bCs/>
          <w:sz w:val="24"/>
          <w:szCs w:val="24"/>
          <w:lang w:val="en-IN"/>
        </w:rPr>
        <w:t>7-1-7 model (Karnataka):</w:t>
      </w:r>
      <w:r w:rsidRPr="000B2596">
        <w:rPr>
          <w:rFonts w:asciiTheme="minorHAnsi" w:hAnsiTheme="minorHAnsi" w:cstheme="minorHAnsi"/>
          <w:sz w:val="24"/>
          <w:szCs w:val="24"/>
          <w:lang w:val="en-IN"/>
        </w:rPr>
        <w:t xml:space="preserve"> Screening within 1 day and TPT initiation within 7 days </w:t>
      </w:r>
    </w:p>
    <w:p w14:paraId="373BEF4F" w14:textId="77777777" w:rsidR="003A7BCA" w:rsidRPr="000B2596" w:rsidRDefault="003A7BCA" w:rsidP="003A7BCA">
      <w:pPr>
        <w:numPr>
          <w:ilvl w:val="1"/>
          <w:numId w:val="29"/>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b/>
          <w:bCs/>
          <w:sz w:val="24"/>
          <w:szCs w:val="24"/>
          <w:lang w:val="en-IN"/>
        </w:rPr>
        <w:t>7-4-7 model (Telangana):</w:t>
      </w:r>
      <w:r w:rsidRPr="000B2596">
        <w:rPr>
          <w:rFonts w:asciiTheme="minorHAnsi" w:hAnsiTheme="minorHAnsi" w:cstheme="minorHAnsi"/>
          <w:sz w:val="24"/>
          <w:szCs w:val="24"/>
          <w:lang w:val="en-IN"/>
        </w:rPr>
        <w:t xml:space="preserve"> Testing within 4 days and TPT initiation within 7 days </w:t>
      </w:r>
    </w:p>
    <w:p w14:paraId="11586BB7" w14:textId="77777777" w:rsidR="003A7BCA" w:rsidRPr="000B2596" w:rsidRDefault="003A7BCA" w:rsidP="003A7BCA">
      <w:pPr>
        <w:numPr>
          <w:ilvl w:val="0"/>
          <w:numId w:val="29"/>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Monitor real-time cascade performance from contact identification to TPT completion. </w:t>
      </w:r>
    </w:p>
    <w:p w14:paraId="0828FFEF" w14:textId="77777777" w:rsidR="003A7BCA" w:rsidRPr="000B2596" w:rsidRDefault="003A7BCA" w:rsidP="003A7BCA">
      <w:pPr>
        <w:numPr>
          <w:ilvl w:val="0"/>
          <w:numId w:val="29"/>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Ensure time-bound implementation for both </w:t>
      </w:r>
      <w:r w:rsidRPr="000B2596">
        <w:rPr>
          <w:rFonts w:asciiTheme="minorHAnsi" w:hAnsiTheme="minorHAnsi" w:cstheme="minorHAnsi"/>
          <w:b/>
          <w:bCs/>
          <w:sz w:val="24"/>
          <w:szCs w:val="24"/>
          <w:lang w:val="en-IN"/>
        </w:rPr>
        <w:t>new index cases and retrospective tracing.</w:t>
      </w:r>
    </w:p>
    <w:p w14:paraId="27EF2CFF"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sz w:val="24"/>
          <w:szCs w:val="24"/>
          <w:lang w:val="en-IN"/>
        </w:rPr>
      </w:pPr>
    </w:p>
    <w:p w14:paraId="1D9DFCD1"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b/>
          <w:bCs/>
          <w:sz w:val="24"/>
          <w:szCs w:val="24"/>
          <w:lang w:val="en-IN"/>
        </w:rPr>
      </w:pPr>
      <w:r w:rsidRPr="000B2596">
        <w:rPr>
          <w:rFonts w:asciiTheme="minorHAnsi" w:hAnsiTheme="minorHAnsi" w:cstheme="minorHAnsi"/>
          <w:b/>
          <w:bCs/>
          <w:sz w:val="24"/>
          <w:szCs w:val="24"/>
          <w:lang w:val="en-IN"/>
        </w:rPr>
        <w:t>3. Private Sector Engagement &amp; Provider Transformation</w:t>
      </w:r>
    </w:p>
    <w:p w14:paraId="50F8B105" w14:textId="77777777" w:rsidR="003A7BCA" w:rsidRPr="000B2596" w:rsidRDefault="003A7BCA" w:rsidP="003A7BCA">
      <w:pPr>
        <w:numPr>
          <w:ilvl w:val="0"/>
          <w:numId w:val="30"/>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Lead engagement and on-boarding of private hospitals, clinics, and diagnostic centres as SAFE-TB Hubs. </w:t>
      </w:r>
    </w:p>
    <w:p w14:paraId="6FABF783" w14:textId="77777777" w:rsidR="003A7BCA" w:rsidRPr="000B2596" w:rsidRDefault="003A7BCA" w:rsidP="003A7BCA">
      <w:pPr>
        <w:numPr>
          <w:ilvl w:val="0"/>
          <w:numId w:val="30"/>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Facilitate structured provider transformation through: </w:t>
      </w:r>
    </w:p>
    <w:p w14:paraId="33434F9B" w14:textId="77777777" w:rsidR="003A7BCA" w:rsidRPr="000B2596" w:rsidRDefault="003A7BCA" w:rsidP="003A7BCA">
      <w:pPr>
        <w:numPr>
          <w:ilvl w:val="1"/>
          <w:numId w:val="30"/>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CME programmes </w:t>
      </w:r>
    </w:p>
    <w:p w14:paraId="3851C041" w14:textId="77777777" w:rsidR="003A7BCA" w:rsidRPr="000B2596" w:rsidRDefault="003A7BCA" w:rsidP="003A7BCA">
      <w:pPr>
        <w:numPr>
          <w:ilvl w:val="1"/>
          <w:numId w:val="30"/>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E-learning certification modules </w:t>
      </w:r>
    </w:p>
    <w:p w14:paraId="33495A60" w14:textId="77777777" w:rsidR="003A7BCA" w:rsidRPr="000B2596" w:rsidRDefault="003A7BCA" w:rsidP="003A7BCA">
      <w:pPr>
        <w:numPr>
          <w:ilvl w:val="1"/>
          <w:numId w:val="30"/>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Technical mentoring via MCCs </w:t>
      </w:r>
    </w:p>
    <w:p w14:paraId="201CE9C5" w14:textId="77777777" w:rsidR="003A7BCA" w:rsidRPr="000B2596" w:rsidRDefault="003A7BCA" w:rsidP="003A7BCA">
      <w:pPr>
        <w:numPr>
          <w:ilvl w:val="0"/>
          <w:numId w:val="30"/>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Strengthen collaboration with professional bodies such as IMA, IAP, and other associations. </w:t>
      </w:r>
    </w:p>
    <w:p w14:paraId="1040FCB1"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sz w:val="24"/>
          <w:szCs w:val="24"/>
          <w:lang w:val="en-IN"/>
        </w:rPr>
      </w:pPr>
    </w:p>
    <w:p w14:paraId="282AC8C7"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b/>
          <w:bCs/>
          <w:sz w:val="24"/>
          <w:szCs w:val="24"/>
          <w:lang w:val="en-IN"/>
        </w:rPr>
      </w:pPr>
      <w:r w:rsidRPr="000B2596">
        <w:rPr>
          <w:rFonts w:asciiTheme="minorHAnsi" w:hAnsiTheme="minorHAnsi" w:cstheme="minorHAnsi"/>
          <w:b/>
          <w:bCs/>
          <w:sz w:val="24"/>
          <w:szCs w:val="24"/>
          <w:lang w:val="en-IN"/>
        </w:rPr>
        <w:t>4. Digital Systems &amp; Innovation Oversight</w:t>
      </w:r>
    </w:p>
    <w:p w14:paraId="0C652FCC" w14:textId="77777777" w:rsidR="003A7BCA" w:rsidRPr="000B2596" w:rsidRDefault="003A7BCA" w:rsidP="003A7BCA">
      <w:pPr>
        <w:numPr>
          <w:ilvl w:val="0"/>
          <w:numId w:val="31"/>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Ensure effective implementation and uptake of: </w:t>
      </w:r>
    </w:p>
    <w:p w14:paraId="20E74CC0" w14:textId="77777777" w:rsidR="003A7BCA" w:rsidRPr="000B2596" w:rsidRDefault="003A7BCA" w:rsidP="003A7BCA">
      <w:pPr>
        <w:numPr>
          <w:ilvl w:val="1"/>
          <w:numId w:val="31"/>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OPD kiosks for demand generation </w:t>
      </w:r>
    </w:p>
    <w:p w14:paraId="64781898" w14:textId="77777777" w:rsidR="003A7BCA" w:rsidRPr="000B2596" w:rsidRDefault="003A7BCA" w:rsidP="003A7BCA">
      <w:pPr>
        <w:numPr>
          <w:ilvl w:val="1"/>
          <w:numId w:val="31"/>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e-voucher system for screening/testing enablement </w:t>
      </w:r>
    </w:p>
    <w:p w14:paraId="6E547DEC" w14:textId="77777777" w:rsidR="003A7BCA" w:rsidRPr="000B2596" w:rsidRDefault="003A7BCA" w:rsidP="003A7BCA">
      <w:pPr>
        <w:numPr>
          <w:ilvl w:val="1"/>
          <w:numId w:val="31"/>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Digital adherence and follow-up platforms </w:t>
      </w:r>
    </w:p>
    <w:p w14:paraId="3A6FA67E" w14:textId="77777777" w:rsidR="003A7BCA" w:rsidRPr="000B2596" w:rsidRDefault="003A7BCA" w:rsidP="003A7BCA">
      <w:pPr>
        <w:numPr>
          <w:ilvl w:val="1"/>
          <w:numId w:val="31"/>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Virtual TPT support groups and “TPT Tuesday” expert interactions </w:t>
      </w:r>
    </w:p>
    <w:p w14:paraId="68530F01" w14:textId="77777777" w:rsidR="003A7BCA" w:rsidRPr="000B2596" w:rsidRDefault="003A7BCA" w:rsidP="003A7BCA">
      <w:pPr>
        <w:numPr>
          <w:ilvl w:val="0"/>
          <w:numId w:val="31"/>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Oversee integration of all digital tools with </w:t>
      </w:r>
      <w:r w:rsidRPr="000B2596">
        <w:rPr>
          <w:rFonts w:asciiTheme="minorHAnsi" w:hAnsiTheme="minorHAnsi" w:cstheme="minorHAnsi"/>
          <w:b/>
          <w:bCs/>
          <w:sz w:val="24"/>
          <w:szCs w:val="24"/>
          <w:lang w:val="en-IN"/>
        </w:rPr>
        <w:t>Nikshay and project M&amp;E systems</w:t>
      </w:r>
      <w:r w:rsidRPr="000B2596">
        <w:rPr>
          <w:rFonts w:asciiTheme="minorHAnsi" w:hAnsiTheme="minorHAnsi" w:cstheme="minorHAnsi"/>
          <w:sz w:val="24"/>
          <w:szCs w:val="24"/>
          <w:lang w:val="en-IN"/>
        </w:rPr>
        <w:t xml:space="preserve">. </w:t>
      </w:r>
    </w:p>
    <w:p w14:paraId="55739465"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sz w:val="24"/>
          <w:szCs w:val="24"/>
          <w:lang w:val="en-IN"/>
        </w:rPr>
      </w:pPr>
    </w:p>
    <w:p w14:paraId="4E10CA45"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b/>
          <w:bCs/>
          <w:sz w:val="24"/>
          <w:szCs w:val="24"/>
          <w:lang w:val="en-IN"/>
        </w:rPr>
      </w:pPr>
      <w:r w:rsidRPr="000B2596">
        <w:rPr>
          <w:rFonts w:asciiTheme="minorHAnsi" w:hAnsiTheme="minorHAnsi" w:cstheme="minorHAnsi"/>
          <w:b/>
          <w:bCs/>
          <w:sz w:val="24"/>
          <w:szCs w:val="24"/>
          <w:lang w:val="en-IN"/>
        </w:rPr>
        <w:t>5. Monitoring, Evaluation &amp; Data-Driven Management</w:t>
      </w:r>
    </w:p>
    <w:p w14:paraId="752CA243" w14:textId="77777777" w:rsidR="003A7BCA" w:rsidRPr="000B2596" w:rsidRDefault="003A7BCA" w:rsidP="003A7BCA">
      <w:pPr>
        <w:numPr>
          <w:ilvl w:val="0"/>
          <w:numId w:val="32"/>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Lead implementation of the full </w:t>
      </w:r>
      <w:r w:rsidRPr="000B2596">
        <w:rPr>
          <w:rFonts w:asciiTheme="minorHAnsi" w:hAnsiTheme="minorHAnsi" w:cstheme="minorHAnsi"/>
          <w:b/>
          <w:bCs/>
          <w:sz w:val="24"/>
          <w:szCs w:val="24"/>
          <w:lang w:val="en-IN"/>
        </w:rPr>
        <w:t>M&amp;E framework across SAFE-TB Hubs</w:t>
      </w:r>
      <w:r w:rsidRPr="000B2596">
        <w:rPr>
          <w:rFonts w:asciiTheme="minorHAnsi" w:hAnsiTheme="minorHAnsi" w:cstheme="minorHAnsi"/>
          <w:sz w:val="24"/>
          <w:szCs w:val="24"/>
          <w:lang w:val="en-IN"/>
        </w:rPr>
        <w:t xml:space="preserve">. </w:t>
      </w:r>
    </w:p>
    <w:p w14:paraId="4C59E571" w14:textId="77777777" w:rsidR="003A7BCA" w:rsidRPr="000B2596" w:rsidRDefault="003A7BCA" w:rsidP="003A7BCA">
      <w:pPr>
        <w:numPr>
          <w:ilvl w:val="0"/>
          <w:numId w:val="32"/>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Track key indicators including: </w:t>
      </w:r>
    </w:p>
    <w:p w14:paraId="2FC3F8B1" w14:textId="77777777" w:rsidR="003A7BCA" w:rsidRPr="000B2596" w:rsidRDefault="003A7BCA" w:rsidP="003A7BCA">
      <w:pPr>
        <w:numPr>
          <w:ilvl w:val="1"/>
          <w:numId w:val="32"/>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Contacts identified, screened, tested, and initiated on TPT </w:t>
      </w:r>
    </w:p>
    <w:p w14:paraId="0C287393" w14:textId="77777777" w:rsidR="003A7BCA" w:rsidRPr="000B2596" w:rsidRDefault="003A7BCA" w:rsidP="003A7BCA">
      <w:pPr>
        <w:numPr>
          <w:ilvl w:val="1"/>
          <w:numId w:val="32"/>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Treatment adherence, completion, and loss-to-follow-up rates </w:t>
      </w:r>
    </w:p>
    <w:p w14:paraId="06E676A5" w14:textId="77777777" w:rsidR="003A7BCA" w:rsidRPr="000B2596" w:rsidRDefault="003A7BCA" w:rsidP="003A7BCA">
      <w:pPr>
        <w:numPr>
          <w:ilvl w:val="1"/>
          <w:numId w:val="32"/>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Facility-level performance and cascade efficiency </w:t>
      </w:r>
    </w:p>
    <w:p w14:paraId="526239CF" w14:textId="77777777" w:rsidR="003A7BCA" w:rsidRPr="000B2596" w:rsidRDefault="003A7BCA" w:rsidP="003A7BCA">
      <w:pPr>
        <w:numPr>
          <w:ilvl w:val="0"/>
          <w:numId w:val="32"/>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Conduct monthly performance reviews and facilitate data-driven corrective actions. </w:t>
      </w:r>
    </w:p>
    <w:p w14:paraId="1D5097F0" w14:textId="77777777" w:rsidR="003A7BCA" w:rsidRPr="000B2596" w:rsidRDefault="003A7BCA" w:rsidP="003A7BCA">
      <w:pPr>
        <w:numPr>
          <w:ilvl w:val="0"/>
          <w:numId w:val="32"/>
        </w:numPr>
        <w:tabs>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Ensure data quality, completeness, and timely reporting to government and donor systems. </w:t>
      </w:r>
    </w:p>
    <w:p w14:paraId="37E18E95"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sz w:val="24"/>
          <w:szCs w:val="24"/>
          <w:lang w:val="en-IN"/>
        </w:rPr>
      </w:pPr>
    </w:p>
    <w:p w14:paraId="6327AD0A"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b/>
          <w:bCs/>
          <w:sz w:val="24"/>
          <w:szCs w:val="24"/>
          <w:lang w:val="en-IN"/>
        </w:rPr>
      </w:pPr>
      <w:r w:rsidRPr="000B2596">
        <w:rPr>
          <w:rFonts w:asciiTheme="minorHAnsi" w:hAnsiTheme="minorHAnsi" w:cstheme="minorHAnsi"/>
          <w:b/>
          <w:bCs/>
          <w:sz w:val="24"/>
          <w:szCs w:val="24"/>
          <w:lang w:val="en-IN"/>
        </w:rPr>
        <w:t>6. Stakeholder Coordination &amp; Government Interface</w:t>
      </w:r>
    </w:p>
    <w:p w14:paraId="04263A58" w14:textId="77777777" w:rsidR="003A7BCA" w:rsidRPr="000B2596" w:rsidRDefault="003A7BCA" w:rsidP="003A7BCA">
      <w:pPr>
        <w:numPr>
          <w:ilvl w:val="0"/>
          <w:numId w:val="33"/>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Serve as primary operational interface with: </w:t>
      </w:r>
    </w:p>
    <w:p w14:paraId="4998F00D" w14:textId="77777777" w:rsidR="003A7BCA" w:rsidRPr="000B2596" w:rsidRDefault="003A7BCA" w:rsidP="003A7BCA">
      <w:pPr>
        <w:numPr>
          <w:ilvl w:val="1"/>
          <w:numId w:val="33"/>
        </w:numPr>
        <w:tabs>
          <w:tab w:val="left" w:pos="760"/>
          <w:tab w:val="left" w:pos="761"/>
          <w:tab w:val="num" w:pos="1440"/>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State TB Officers (STO) </w:t>
      </w:r>
    </w:p>
    <w:p w14:paraId="0B3DF167" w14:textId="77777777" w:rsidR="003A7BCA" w:rsidRPr="000B2596" w:rsidRDefault="003A7BCA" w:rsidP="003A7BCA">
      <w:pPr>
        <w:numPr>
          <w:ilvl w:val="1"/>
          <w:numId w:val="33"/>
        </w:numPr>
        <w:tabs>
          <w:tab w:val="left" w:pos="760"/>
          <w:tab w:val="left" w:pos="761"/>
          <w:tab w:val="num" w:pos="1440"/>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District TB Officers (DTO) </w:t>
      </w:r>
    </w:p>
    <w:p w14:paraId="6262A541" w14:textId="77777777" w:rsidR="003A7BCA" w:rsidRPr="000B2596" w:rsidRDefault="003A7BCA" w:rsidP="003A7BCA">
      <w:pPr>
        <w:numPr>
          <w:ilvl w:val="1"/>
          <w:numId w:val="33"/>
        </w:numPr>
        <w:tabs>
          <w:tab w:val="left" w:pos="760"/>
          <w:tab w:val="left" w:pos="761"/>
          <w:tab w:val="num" w:pos="1440"/>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State TB Cell / PMU </w:t>
      </w:r>
    </w:p>
    <w:p w14:paraId="7D6A8839" w14:textId="77777777" w:rsidR="003A7BCA" w:rsidRPr="000B2596" w:rsidRDefault="003A7BCA" w:rsidP="003A7BCA">
      <w:pPr>
        <w:numPr>
          <w:ilvl w:val="1"/>
          <w:numId w:val="33"/>
        </w:numPr>
        <w:tabs>
          <w:tab w:val="left" w:pos="760"/>
          <w:tab w:val="left" w:pos="761"/>
          <w:tab w:val="num" w:pos="1440"/>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Central TB Division (CTD) </w:t>
      </w:r>
    </w:p>
    <w:p w14:paraId="7AF8FC32" w14:textId="77777777" w:rsidR="003A7BCA" w:rsidRPr="000B2596" w:rsidRDefault="003A7BCA" w:rsidP="003A7BCA">
      <w:pPr>
        <w:numPr>
          <w:ilvl w:val="0"/>
          <w:numId w:val="33"/>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Represent the programme in state, district, and national TB review meetings. </w:t>
      </w:r>
    </w:p>
    <w:p w14:paraId="3CF0165B" w14:textId="77777777" w:rsidR="003A7BCA" w:rsidRPr="000B2596" w:rsidRDefault="003A7BCA" w:rsidP="003A7BCA">
      <w:pPr>
        <w:numPr>
          <w:ilvl w:val="0"/>
          <w:numId w:val="33"/>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lastRenderedPageBreak/>
        <w:t xml:space="preserve">Ensure alignment of project implementation with </w:t>
      </w:r>
      <w:r w:rsidRPr="000B2596">
        <w:rPr>
          <w:rFonts w:asciiTheme="minorHAnsi" w:hAnsiTheme="minorHAnsi" w:cstheme="minorHAnsi"/>
          <w:b/>
          <w:bCs/>
          <w:sz w:val="24"/>
          <w:szCs w:val="24"/>
          <w:lang w:val="en-IN"/>
        </w:rPr>
        <w:t>NTEP guidelines and state priorities</w:t>
      </w:r>
      <w:r w:rsidRPr="000B2596">
        <w:rPr>
          <w:rFonts w:asciiTheme="minorHAnsi" w:hAnsiTheme="minorHAnsi" w:cstheme="minorHAnsi"/>
          <w:sz w:val="24"/>
          <w:szCs w:val="24"/>
          <w:lang w:val="en-IN"/>
        </w:rPr>
        <w:t xml:space="preserve">. </w:t>
      </w:r>
    </w:p>
    <w:p w14:paraId="61967534"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sz w:val="24"/>
          <w:szCs w:val="24"/>
          <w:lang w:val="en-IN"/>
        </w:rPr>
      </w:pPr>
    </w:p>
    <w:p w14:paraId="641B250E"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b/>
          <w:bCs/>
          <w:sz w:val="24"/>
          <w:szCs w:val="24"/>
          <w:lang w:val="en-IN"/>
        </w:rPr>
      </w:pPr>
      <w:r w:rsidRPr="000B2596">
        <w:rPr>
          <w:rFonts w:asciiTheme="minorHAnsi" w:hAnsiTheme="minorHAnsi" w:cstheme="minorHAnsi"/>
          <w:b/>
          <w:bCs/>
          <w:sz w:val="24"/>
          <w:szCs w:val="24"/>
          <w:lang w:val="en-IN"/>
        </w:rPr>
        <w:t>7. Capacity Building &amp; Field Support</w:t>
      </w:r>
    </w:p>
    <w:p w14:paraId="006969C6" w14:textId="77777777" w:rsidR="003A7BCA" w:rsidRPr="000B2596" w:rsidRDefault="003A7BCA" w:rsidP="003A7BCA">
      <w:pPr>
        <w:numPr>
          <w:ilvl w:val="0"/>
          <w:numId w:val="34"/>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Lead training and mentoring of: </w:t>
      </w:r>
    </w:p>
    <w:p w14:paraId="670B82AE" w14:textId="77777777" w:rsidR="003A7BCA" w:rsidRPr="000B2596" w:rsidRDefault="003A7BCA" w:rsidP="003A7BCA">
      <w:pPr>
        <w:numPr>
          <w:ilvl w:val="1"/>
          <w:numId w:val="34"/>
        </w:numPr>
        <w:tabs>
          <w:tab w:val="left" w:pos="760"/>
          <w:tab w:val="left" w:pos="761"/>
          <w:tab w:val="num" w:pos="1440"/>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Private healthcare providers </w:t>
      </w:r>
    </w:p>
    <w:p w14:paraId="3FA13E6E" w14:textId="77777777" w:rsidR="003A7BCA" w:rsidRPr="000B2596" w:rsidRDefault="003A7BCA" w:rsidP="003A7BCA">
      <w:pPr>
        <w:numPr>
          <w:ilvl w:val="1"/>
          <w:numId w:val="34"/>
        </w:numPr>
        <w:tabs>
          <w:tab w:val="left" w:pos="760"/>
          <w:tab w:val="left" w:pos="761"/>
          <w:tab w:val="num" w:pos="1440"/>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Facility focal points </w:t>
      </w:r>
    </w:p>
    <w:p w14:paraId="27E4D56F" w14:textId="77777777" w:rsidR="003A7BCA" w:rsidRPr="000B2596" w:rsidRDefault="003A7BCA" w:rsidP="003A7BCA">
      <w:pPr>
        <w:numPr>
          <w:ilvl w:val="1"/>
          <w:numId w:val="34"/>
        </w:numPr>
        <w:tabs>
          <w:tab w:val="left" w:pos="760"/>
          <w:tab w:val="left" w:pos="761"/>
          <w:tab w:val="num" w:pos="1440"/>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Field implementation teams </w:t>
      </w:r>
    </w:p>
    <w:p w14:paraId="10DCC424" w14:textId="77777777" w:rsidR="003A7BCA" w:rsidRPr="000B2596" w:rsidRDefault="003A7BCA" w:rsidP="003A7BCA">
      <w:pPr>
        <w:numPr>
          <w:ilvl w:val="0"/>
          <w:numId w:val="34"/>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Organize CMEs, workshops, and supportive supervision visits. </w:t>
      </w:r>
    </w:p>
    <w:p w14:paraId="005D5121" w14:textId="77777777" w:rsidR="003A7BCA" w:rsidRPr="000B2596" w:rsidRDefault="003A7BCA" w:rsidP="003A7BCA">
      <w:pPr>
        <w:numPr>
          <w:ilvl w:val="0"/>
          <w:numId w:val="34"/>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Strengthen adherence counselling systems, including home-based follow-ups and virtual support groups. </w:t>
      </w:r>
    </w:p>
    <w:p w14:paraId="16FE0D5F"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sz w:val="24"/>
          <w:szCs w:val="24"/>
          <w:lang w:val="en-IN"/>
        </w:rPr>
      </w:pPr>
    </w:p>
    <w:p w14:paraId="2B53B9B3" w14:textId="77777777" w:rsidR="003A7BCA" w:rsidRPr="000B2596" w:rsidRDefault="003A7BCA" w:rsidP="003A7BCA">
      <w:pPr>
        <w:tabs>
          <w:tab w:val="left" w:pos="760"/>
          <w:tab w:val="left" w:pos="761"/>
        </w:tabs>
        <w:spacing w:line="259" w:lineRule="auto"/>
        <w:ind w:left="400" w:right="115"/>
        <w:jc w:val="both"/>
        <w:rPr>
          <w:rFonts w:asciiTheme="minorHAnsi" w:hAnsiTheme="minorHAnsi" w:cstheme="minorHAnsi"/>
          <w:b/>
          <w:bCs/>
          <w:sz w:val="24"/>
          <w:szCs w:val="24"/>
          <w:lang w:val="en-IN"/>
        </w:rPr>
      </w:pPr>
      <w:r w:rsidRPr="000B2596">
        <w:rPr>
          <w:rFonts w:asciiTheme="minorHAnsi" w:hAnsiTheme="minorHAnsi" w:cstheme="minorHAnsi"/>
          <w:b/>
          <w:bCs/>
          <w:sz w:val="24"/>
          <w:szCs w:val="24"/>
          <w:lang w:val="en-IN"/>
        </w:rPr>
        <w:t>8. Programme Management &amp; Compliance</w:t>
      </w:r>
    </w:p>
    <w:p w14:paraId="4607D51C" w14:textId="77777777" w:rsidR="003A7BCA" w:rsidRPr="000B2596" w:rsidRDefault="003A7BCA" w:rsidP="003A7BCA">
      <w:pPr>
        <w:numPr>
          <w:ilvl w:val="0"/>
          <w:numId w:val="35"/>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Oversee operational planning, field execution, and activity tracking across all hubs. </w:t>
      </w:r>
    </w:p>
    <w:p w14:paraId="3587715C" w14:textId="77777777" w:rsidR="003A7BCA" w:rsidRPr="000B2596" w:rsidRDefault="003A7BCA" w:rsidP="003A7BCA">
      <w:pPr>
        <w:numPr>
          <w:ilvl w:val="0"/>
          <w:numId w:val="35"/>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Ensure compliance with organisational systems, donor requirements (TIFA/JSI), and reporting standards. </w:t>
      </w:r>
    </w:p>
    <w:p w14:paraId="28149643" w14:textId="77777777" w:rsidR="003A7BCA" w:rsidRPr="000B2596" w:rsidRDefault="003A7BCA" w:rsidP="003A7BCA">
      <w:pPr>
        <w:numPr>
          <w:ilvl w:val="0"/>
          <w:numId w:val="35"/>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 xml:space="preserve">Support budget tracking, documentation, and audit readiness (as applicable). </w:t>
      </w:r>
    </w:p>
    <w:p w14:paraId="38D558E3" w14:textId="77777777" w:rsidR="003A7BCA" w:rsidRPr="000B2596" w:rsidRDefault="003A7BCA" w:rsidP="003A7BCA">
      <w:pPr>
        <w:numPr>
          <w:ilvl w:val="0"/>
          <w:numId w:val="35"/>
        </w:numPr>
        <w:tabs>
          <w:tab w:val="num" w:pos="720"/>
          <w:tab w:val="left" w:pos="760"/>
          <w:tab w:val="left" w:pos="761"/>
        </w:tabs>
        <w:spacing w:line="259" w:lineRule="auto"/>
        <w:ind w:right="115"/>
        <w:jc w:val="both"/>
        <w:rPr>
          <w:rFonts w:asciiTheme="minorHAnsi" w:hAnsiTheme="minorHAnsi" w:cstheme="minorHAnsi"/>
          <w:sz w:val="24"/>
          <w:szCs w:val="24"/>
          <w:lang w:val="en-IN"/>
        </w:rPr>
      </w:pPr>
      <w:r w:rsidRPr="000B2596">
        <w:rPr>
          <w:rFonts w:asciiTheme="minorHAnsi" w:hAnsiTheme="minorHAnsi" w:cstheme="minorHAnsi"/>
          <w:sz w:val="24"/>
          <w:szCs w:val="24"/>
          <w:lang w:val="en-IN"/>
        </w:rPr>
        <w:t>Undertake any additional responsibilities assigned by the TB Thematic Lead.</w:t>
      </w:r>
    </w:p>
    <w:p w14:paraId="6BBFE06B" w14:textId="77777777" w:rsidR="003A7BCA" w:rsidRPr="000B2596" w:rsidRDefault="003A7BCA" w:rsidP="003A7BCA">
      <w:pPr>
        <w:tabs>
          <w:tab w:val="num" w:pos="720"/>
          <w:tab w:val="left" w:pos="760"/>
          <w:tab w:val="left" w:pos="761"/>
        </w:tabs>
        <w:spacing w:line="259" w:lineRule="auto"/>
        <w:ind w:left="1080" w:right="115"/>
        <w:jc w:val="both"/>
        <w:rPr>
          <w:rFonts w:asciiTheme="minorHAnsi" w:hAnsiTheme="minorHAnsi" w:cstheme="minorHAnsi"/>
          <w:sz w:val="24"/>
          <w:szCs w:val="24"/>
          <w:lang w:val="en-IN"/>
        </w:rPr>
      </w:pPr>
    </w:p>
    <w:p w14:paraId="3B114E8D" w14:textId="77777777" w:rsidR="0037283D" w:rsidRPr="000B2596" w:rsidRDefault="0037283D" w:rsidP="003A7BCA">
      <w:pPr>
        <w:jc w:val="both"/>
        <w:outlineLvl w:val="3"/>
        <w:rPr>
          <w:rFonts w:asciiTheme="minorHAnsi" w:eastAsia="Times New Roman" w:hAnsiTheme="minorHAnsi" w:cstheme="minorHAnsi"/>
          <w:sz w:val="24"/>
          <w:szCs w:val="24"/>
          <w:lang w:eastAsia="en-IN"/>
        </w:rPr>
      </w:pPr>
      <w:r w:rsidRPr="000B2596">
        <w:rPr>
          <w:rFonts w:asciiTheme="minorHAnsi" w:hAnsiTheme="minorHAnsi" w:cstheme="minorHAnsi"/>
          <w:sz w:val="24"/>
          <w:szCs w:val="24"/>
        </w:rPr>
        <w:t>Note: The principal responsibilities listed above are an illustrative list and not an exhaustive</w:t>
      </w:r>
      <w:r w:rsidRPr="000B2596">
        <w:rPr>
          <w:rFonts w:asciiTheme="minorHAnsi" w:hAnsiTheme="minorHAnsi" w:cstheme="minorHAnsi"/>
          <w:color w:val="000000"/>
          <w:sz w:val="24"/>
          <w:szCs w:val="24"/>
        </w:rPr>
        <w:t xml:space="preserve"> list Additional responsibility may be assigned as per the Project and organization requirements. </w:t>
      </w:r>
    </w:p>
    <w:p w14:paraId="21FF3D6F" w14:textId="77777777" w:rsidR="00787CC1" w:rsidRPr="000B2596"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B2596">
        <w:rPr>
          <w:rFonts w:asciiTheme="minorHAnsi" w:eastAsia="Arial" w:hAnsiTheme="minorHAnsi" w:cstheme="minorHAnsi"/>
          <w:b/>
          <w:bCs/>
          <w:sz w:val="24"/>
          <w:szCs w:val="24"/>
        </w:rPr>
        <w:t>Reportin</w:t>
      </w:r>
      <w:r w:rsidR="00787CC1" w:rsidRPr="000B2596">
        <w:rPr>
          <w:rFonts w:asciiTheme="minorHAnsi" w:eastAsia="Arial" w:hAnsiTheme="minorHAnsi" w:cstheme="minorHAnsi"/>
          <w:b/>
          <w:bCs/>
          <w:sz w:val="24"/>
          <w:szCs w:val="24"/>
        </w:rPr>
        <w:t>g</w:t>
      </w:r>
    </w:p>
    <w:p w14:paraId="57E4865E" w14:textId="77777777" w:rsidR="003A7BCA" w:rsidRPr="000B2596" w:rsidRDefault="000E5F63" w:rsidP="000E5F63">
      <w:pPr>
        <w:pStyle w:val="BodyText"/>
        <w:rPr>
          <w:rFonts w:asciiTheme="minorHAnsi" w:hAnsiTheme="minorHAnsi" w:cstheme="minorHAnsi"/>
          <w:sz w:val="24"/>
          <w:szCs w:val="24"/>
        </w:rPr>
      </w:pPr>
      <w:r w:rsidRPr="000B2596">
        <w:rPr>
          <w:rFonts w:asciiTheme="minorHAnsi" w:hAnsiTheme="minorHAnsi" w:cstheme="minorHAnsi"/>
          <w:sz w:val="24"/>
          <w:szCs w:val="24"/>
        </w:rPr>
        <w:t xml:space="preserve">      </w:t>
      </w:r>
      <w:r w:rsidR="00BA6CF6" w:rsidRPr="000B2596">
        <w:rPr>
          <w:rFonts w:asciiTheme="minorHAnsi" w:hAnsiTheme="minorHAnsi" w:cstheme="minorHAnsi"/>
          <w:sz w:val="24"/>
          <w:szCs w:val="24"/>
        </w:rPr>
        <w:t>The</w:t>
      </w:r>
      <w:r w:rsidR="007F346F" w:rsidRPr="000B2596">
        <w:rPr>
          <w:rFonts w:asciiTheme="minorHAnsi" w:hAnsiTheme="minorHAnsi" w:cstheme="minorHAnsi"/>
          <w:sz w:val="24"/>
          <w:szCs w:val="24"/>
        </w:rPr>
        <w:t xml:space="preserve"> </w:t>
      </w:r>
      <w:r w:rsidR="003A7BCA" w:rsidRPr="000B2596">
        <w:rPr>
          <w:rFonts w:asciiTheme="minorHAnsi" w:hAnsiTheme="minorHAnsi" w:cstheme="minorHAnsi"/>
          <w:sz w:val="24"/>
          <w:szCs w:val="24"/>
        </w:rPr>
        <w:t>Project Implementation Lead</w:t>
      </w:r>
      <w:r w:rsidR="00A14E78" w:rsidRPr="000B2596">
        <w:rPr>
          <w:rFonts w:asciiTheme="minorHAnsi" w:hAnsiTheme="minorHAnsi" w:cstheme="minorHAnsi"/>
          <w:sz w:val="24"/>
          <w:szCs w:val="24"/>
        </w:rPr>
        <w:t xml:space="preserve"> </w:t>
      </w:r>
      <w:r w:rsidR="00CD53DA" w:rsidRPr="000B2596">
        <w:rPr>
          <w:rFonts w:asciiTheme="minorHAnsi" w:hAnsiTheme="minorHAnsi" w:cstheme="minorHAnsi"/>
          <w:sz w:val="24"/>
          <w:szCs w:val="24"/>
        </w:rPr>
        <w:t>will be reporting to</w:t>
      </w:r>
      <w:r w:rsidR="008D703A" w:rsidRPr="000B2596">
        <w:rPr>
          <w:rFonts w:asciiTheme="minorHAnsi" w:hAnsiTheme="minorHAnsi" w:cstheme="minorHAnsi"/>
          <w:sz w:val="24"/>
          <w:szCs w:val="24"/>
        </w:rPr>
        <w:t xml:space="preserve"> </w:t>
      </w:r>
      <w:r w:rsidR="003A7BCA" w:rsidRPr="000B2596">
        <w:rPr>
          <w:rFonts w:asciiTheme="minorHAnsi" w:hAnsiTheme="minorHAnsi" w:cstheme="minorHAnsi"/>
          <w:lang w:val="en-IN"/>
        </w:rPr>
        <w:t>TB Thematic Lead,</w:t>
      </w:r>
      <w:r w:rsidR="003A7BCA" w:rsidRPr="000B2596">
        <w:rPr>
          <w:rFonts w:asciiTheme="minorHAnsi" w:hAnsiTheme="minorHAnsi" w:cstheme="minorHAnsi"/>
          <w:color w:val="EE0000"/>
          <w:lang w:val="en-IN"/>
        </w:rPr>
        <w:t xml:space="preserve"> </w:t>
      </w:r>
      <w:r w:rsidR="003A7BCA" w:rsidRPr="000B2596">
        <w:rPr>
          <w:rFonts w:asciiTheme="minorHAnsi" w:hAnsiTheme="minorHAnsi" w:cstheme="minorHAnsi"/>
          <w:lang w:val="en-IN"/>
        </w:rPr>
        <w:t>KHPT</w:t>
      </w:r>
      <w:r w:rsidR="003A7BCA" w:rsidRPr="000B2596">
        <w:rPr>
          <w:rFonts w:asciiTheme="minorHAnsi" w:hAnsiTheme="minorHAnsi" w:cstheme="minorHAnsi"/>
          <w:sz w:val="24"/>
          <w:szCs w:val="24"/>
        </w:rPr>
        <w:t xml:space="preserve"> </w:t>
      </w:r>
      <w:r w:rsidR="006366FF" w:rsidRPr="000B2596">
        <w:rPr>
          <w:rFonts w:asciiTheme="minorHAnsi" w:hAnsiTheme="minorHAnsi" w:cstheme="minorHAnsi"/>
          <w:sz w:val="24"/>
          <w:szCs w:val="24"/>
        </w:rPr>
        <w:t>or any other</w:t>
      </w:r>
      <w:r w:rsidRPr="000B2596">
        <w:rPr>
          <w:rFonts w:asciiTheme="minorHAnsi" w:hAnsiTheme="minorHAnsi" w:cstheme="minorHAnsi"/>
          <w:sz w:val="24"/>
          <w:szCs w:val="24"/>
        </w:rPr>
        <w:t xml:space="preserve"> </w:t>
      </w:r>
    </w:p>
    <w:p w14:paraId="7503A314" w14:textId="77777777" w:rsidR="007F346F" w:rsidRPr="000B2596" w:rsidRDefault="000E5F63" w:rsidP="003A7BCA">
      <w:pPr>
        <w:pStyle w:val="BodyText"/>
        <w:ind w:firstLine="0"/>
        <w:rPr>
          <w:rFonts w:asciiTheme="minorHAnsi" w:hAnsiTheme="minorHAnsi" w:cstheme="minorHAnsi"/>
          <w:sz w:val="24"/>
          <w:szCs w:val="24"/>
        </w:rPr>
      </w:pPr>
      <w:r w:rsidRPr="000B2596">
        <w:rPr>
          <w:rFonts w:asciiTheme="minorHAnsi" w:hAnsiTheme="minorHAnsi" w:cstheme="minorHAnsi"/>
          <w:sz w:val="24"/>
          <w:szCs w:val="24"/>
        </w:rPr>
        <w:t>person designated by</w:t>
      </w:r>
      <w:r w:rsidR="008D703A" w:rsidRPr="000B2596">
        <w:rPr>
          <w:rFonts w:asciiTheme="minorHAnsi" w:hAnsiTheme="minorHAnsi" w:cstheme="minorHAnsi"/>
          <w:sz w:val="24"/>
          <w:szCs w:val="24"/>
        </w:rPr>
        <w:t xml:space="preserve"> her/</w:t>
      </w:r>
      <w:r w:rsidRPr="000B2596">
        <w:rPr>
          <w:rFonts w:asciiTheme="minorHAnsi" w:hAnsiTheme="minorHAnsi" w:cstheme="minorHAnsi"/>
          <w:sz w:val="24"/>
          <w:szCs w:val="24"/>
        </w:rPr>
        <w:t xml:space="preserve"> him</w:t>
      </w:r>
      <w:r w:rsidR="009A318C" w:rsidRPr="000B2596">
        <w:rPr>
          <w:rFonts w:asciiTheme="minorHAnsi" w:hAnsiTheme="minorHAnsi" w:cstheme="minorHAnsi"/>
          <w:sz w:val="24"/>
          <w:szCs w:val="24"/>
        </w:rPr>
        <w:t>.</w:t>
      </w:r>
      <w:r w:rsidR="002E614C" w:rsidRPr="000B2596">
        <w:rPr>
          <w:rFonts w:asciiTheme="minorHAnsi" w:hAnsiTheme="minorHAnsi" w:cstheme="minorHAnsi"/>
          <w:sz w:val="24"/>
          <w:szCs w:val="24"/>
        </w:rPr>
        <w:t xml:space="preserve"> </w:t>
      </w:r>
    </w:p>
    <w:p w14:paraId="27943BCA" w14:textId="77777777" w:rsidR="00630B31" w:rsidRPr="000B2596" w:rsidRDefault="00630B31" w:rsidP="00630B31">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B2596">
        <w:rPr>
          <w:rFonts w:asciiTheme="minorHAnsi" w:eastAsia="Arial" w:hAnsiTheme="minorHAnsi" w:cstheme="minorHAnsi"/>
          <w:b/>
          <w:bCs/>
          <w:sz w:val="24"/>
          <w:szCs w:val="24"/>
        </w:rPr>
        <w:t>Remuneration</w:t>
      </w:r>
    </w:p>
    <w:p w14:paraId="7CC6823B" w14:textId="77777777" w:rsidR="00630B31" w:rsidRPr="000B2596" w:rsidRDefault="00630B31" w:rsidP="00630B31">
      <w:pPr>
        <w:pStyle w:val="gmail-msobodytext"/>
        <w:spacing w:before="4" w:beforeAutospacing="0" w:after="0" w:afterAutospacing="0"/>
        <w:jc w:val="both"/>
        <w:rPr>
          <w:rFonts w:asciiTheme="minorHAnsi" w:hAnsiTheme="minorHAnsi" w:cstheme="minorHAnsi"/>
          <w:color w:val="000000" w:themeColor="text1"/>
        </w:rPr>
      </w:pPr>
      <w:r w:rsidRPr="000B2596">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r w:rsidR="00B763AF" w:rsidRPr="000B2596">
        <w:rPr>
          <w:rFonts w:asciiTheme="minorHAnsi" w:hAnsiTheme="minorHAnsi" w:cstheme="minorHAnsi"/>
          <w:color w:val="000000" w:themeColor="text1"/>
        </w:rPr>
        <w:t>.</w:t>
      </w:r>
    </w:p>
    <w:p w14:paraId="667F0712" w14:textId="77777777" w:rsidR="00B763AF" w:rsidRPr="000B2596" w:rsidRDefault="00B763AF" w:rsidP="00630B31">
      <w:pPr>
        <w:pStyle w:val="gmail-msobodytext"/>
        <w:spacing w:before="4" w:beforeAutospacing="0" w:after="0" w:afterAutospacing="0"/>
        <w:jc w:val="both"/>
        <w:rPr>
          <w:rFonts w:asciiTheme="minorHAnsi" w:hAnsiTheme="minorHAnsi" w:cstheme="minorHAnsi"/>
          <w:color w:val="000000" w:themeColor="text1"/>
        </w:rPr>
      </w:pPr>
    </w:p>
    <w:p w14:paraId="323F1E46" w14:textId="77777777" w:rsidR="00B763AF" w:rsidRPr="000B2596" w:rsidRDefault="00630B31" w:rsidP="00630B31">
      <w:pPr>
        <w:spacing w:before="1"/>
        <w:ind w:right="108"/>
        <w:jc w:val="both"/>
        <w:outlineLvl w:val="1"/>
        <w:rPr>
          <w:rFonts w:asciiTheme="minorHAnsi" w:eastAsia="Times New Roman" w:hAnsiTheme="minorHAnsi" w:cstheme="minorHAnsi"/>
          <w:b/>
          <w:color w:val="043249"/>
          <w:sz w:val="24"/>
          <w:szCs w:val="24"/>
          <w:lang w:eastAsia="en-IN"/>
        </w:rPr>
      </w:pPr>
      <w:r w:rsidRPr="000B2596">
        <w:rPr>
          <w:rFonts w:asciiTheme="minorHAnsi" w:eastAsia="Times New Roman" w:hAnsiTheme="minorHAnsi" w:cstheme="minorHAnsi"/>
          <w:b/>
          <w:color w:val="043249"/>
          <w:sz w:val="24"/>
          <w:szCs w:val="24"/>
          <w:lang w:eastAsia="en-IN"/>
        </w:rPr>
        <w:t xml:space="preserve">KHPT is committed to providing a safe and supportive work environment for all employees. We uphold the principle of equal opportunity and actively welcome female applicants. In addition, we </w:t>
      </w:r>
    </w:p>
    <w:p w14:paraId="3A792A03" w14:textId="77777777" w:rsidR="006366FF" w:rsidRPr="000B2596" w:rsidRDefault="00630B31" w:rsidP="00630B31">
      <w:pPr>
        <w:spacing w:before="1"/>
        <w:ind w:right="108"/>
        <w:jc w:val="both"/>
        <w:outlineLvl w:val="1"/>
        <w:rPr>
          <w:rFonts w:asciiTheme="minorHAnsi" w:eastAsia="Times New Roman" w:hAnsiTheme="minorHAnsi" w:cstheme="minorHAnsi"/>
          <w:b/>
          <w:color w:val="043249"/>
          <w:sz w:val="24"/>
          <w:szCs w:val="24"/>
          <w:lang w:eastAsia="en-IN"/>
        </w:rPr>
      </w:pPr>
      <w:r w:rsidRPr="000B2596">
        <w:rPr>
          <w:rFonts w:asciiTheme="minorHAnsi" w:eastAsia="Times New Roman" w:hAnsiTheme="minorHAnsi" w:cstheme="minorHAnsi"/>
          <w:b/>
          <w:color w:val="043249"/>
          <w:sz w:val="24"/>
          <w:szCs w:val="24"/>
          <w:lang w:eastAsia="en-IN"/>
        </w:rPr>
        <w:t>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554D92F9" w14:textId="77777777" w:rsidR="00630B31" w:rsidRPr="000B2596" w:rsidRDefault="00630B31" w:rsidP="00630B31">
      <w:pPr>
        <w:spacing w:before="78"/>
        <w:ind w:right="111"/>
        <w:jc w:val="both"/>
        <w:rPr>
          <w:rFonts w:asciiTheme="minorHAnsi" w:eastAsia="Times New Roman" w:hAnsiTheme="minorHAnsi" w:cstheme="minorHAnsi"/>
          <w:b/>
          <w:color w:val="043249"/>
          <w:sz w:val="24"/>
          <w:szCs w:val="24"/>
          <w:lang w:eastAsia="en-IN"/>
        </w:rPr>
      </w:pPr>
      <w:r w:rsidRPr="000B2596">
        <w:rPr>
          <w:rFonts w:asciiTheme="minorHAnsi" w:eastAsia="Times New Roman" w:hAnsiTheme="minorHAnsi" w:cstheme="minorHAns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1C0C4B27" w14:textId="77777777" w:rsidR="00630B31" w:rsidRDefault="00630B31" w:rsidP="00630B31">
      <w:pPr>
        <w:spacing w:before="188"/>
        <w:ind w:right="108"/>
        <w:jc w:val="both"/>
        <w:outlineLvl w:val="1"/>
        <w:rPr>
          <w:rFonts w:asciiTheme="minorHAnsi" w:eastAsia="Times New Roman" w:hAnsiTheme="minorHAnsi" w:cstheme="minorHAnsi"/>
          <w:b/>
          <w:color w:val="043249"/>
          <w:sz w:val="24"/>
          <w:szCs w:val="24"/>
          <w:lang w:eastAsia="en-IN"/>
        </w:rPr>
      </w:pPr>
      <w:r w:rsidRPr="000B2596">
        <w:rPr>
          <w:rFonts w:asciiTheme="minorHAnsi" w:eastAsia="Times New Roman" w:hAnsiTheme="minorHAnsi" w:cstheme="minorHAns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1EABD1D7" w14:textId="77777777" w:rsidR="000D6171" w:rsidRDefault="000D6171" w:rsidP="00630B31">
      <w:pPr>
        <w:spacing w:before="188"/>
        <w:ind w:right="108"/>
        <w:jc w:val="both"/>
        <w:outlineLvl w:val="1"/>
        <w:rPr>
          <w:rFonts w:asciiTheme="minorHAnsi" w:eastAsia="Times New Roman" w:hAnsiTheme="minorHAnsi" w:cstheme="minorHAnsi"/>
          <w:b/>
          <w:color w:val="043249"/>
          <w:sz w:val="24"/>
          <w:szCs w:val="24"/>
          <w:lang w:eastAsia="en-IN"/>
        </w:rPr>
      </w:pPr>
    </w:p>
    <w:p w14:paraId="409DE133" w14:textId="77777777" w:rsidR="000D6171" w:rsidRPr="000B2596" w:rsidRDefault="000D6171" w:rsidP="00630B31">
      <w:pPr>
        <w:spacing w:before="188"/>
        <w:ind w:right="108"/>
        <w:jc w:val="both"/>
        <w:outlineLvl w:val="1"/>
        <w:rPr>
          <w:rFonts w:asciiTheme="minorHAnsi" w:eastAsia="Times New Roman" w:hAnsiTheme="minorHAnsi" w:cstheme="minorHAnsi"/>
          <w:b/>
          <w:color w:val="043249"/>
          <w:sz w:val="24"/>
          <w:szCs w:val="24"/>
          <w:lang w:eastAsia="en-IN"/>
        </w:rPr>
      </w:pPr>
    </w:p>
    <w:p w14:paraId="03D52EEF" w14:textId="77777777" w:rsidR="00630B31" w:rsidRPr="000B2596" w:rsidRDefault="00630B31" w:rsidP="00630B31">
      <w:pPr>
        <w:spacing w:before="188"/>
        <w:ind w:right="108"/>
        <w:jc w:val="both"/>
        <w:outlineLvl w:val="1"/>
        <w:rPr>
          <w:rFonts w:asciiTheme="minorHAnsi" w:eastAsia="Times New Roman" w:hAnsiTheme="minorHAnsi" w:cstheme="minorHAnsi"/>
          <w:b/>
          <w:color w:val="043249"/>
          <w:sz w:val="24"/>
          <w:szCs w:val="24"/>
          <w:lang w:eastAsia="en-IN"/>
        </w:rPr>
      </w:pPr>
      <w:r w:rsidRPr="000B2596">
        <w:rPr>
          <w:rFonts w:asciiTheme="minorHAnsi" w:eastAsia="Times New Roman" w:hAnsiTheme="minorHAnsi" w:cstheme="minorHAnsi"/>
          <w:b/>
          <w:color w:val="043249"/>
          <w:sz w:val="24"/>
          <w:szCs w:val="24"/>
          <w:lang w:eastAsia="en-IN"/>
        </w:rPr>
        <w:lastRenderedPageBreak/>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24762C4A" w14:textId="77777777" w:rsidR="00630B31" w:rsidRPr="000B2596" w:rsidRDefault="00630B31" w:rsidP="00630B31">
      <w:pPr>
        <w:pStyle w:val="BodyText"/>
        <w:ind w:left="2880" w:firstLine="720"/>
        <w:rPr>
          <w:rFonts w:asciiTheme="minorHAnsi" w:eastAsia="Arial" w:hAnsiTheme="minorHAnsi" w:cstheme="minorHAnsi"/>
          <w:b/>
          <w:bCs/>
          <w:color w:val="037E57"/>
          <w:sz w:val="36"/>
          <w:szCs w:val="32"/>
          <w:u w:val="single"/>
        </w:rPr>
      </w:pPr>
      <w:r w:rsidRPr="000B2596">
        <w:rPr>
          <w:rFonts w:asciiTheme="minorHAnsi" w:eastAsia="Arial" w:hAnsiTheme="minorHAnsi" w:cstheme="minorHAnsi"/>
          <w:b/>
          <w:bCs/>
          <w:color w:val="037E57"/>
          <w:sz w:val="36"/>
          <w:szCs w:val="32"/>
          <w:u w:val="single"/>
        </w:rPr>
        <w:t>How to apply</w:t>
      </w:r>
    </w:p>
    <w:p w14:paraId="648DE5D4" w14:textId="77777777" w:rsidR="00630B31" w:rsidRPr="000B2596" w:rsidRDefault="00630B31" w:rsidP="00630B31">
      <w:pPr>
        <w:tabs>
          <w:tab w:val="left" w:pos="795"/>
          <w:tab w:val="left" w:pos="796"/>
        </w:tabs>
        <w:spacing w:before="196" w:line="278" w:lineRule="auto"/>
        <w:ind w:right="405"/>
        <w:jc w:val="both"/>
        <w:rPr>
          <w:rFonts w:asciiTheme="minorHAnsi" w:hAnsiTheme="minorHAnsi" w:cstheme="minorHAnsi"/>
          <w:b/>
          <w:bCs/>
          <w:color w:val="037E57"/>
          <w:sz w:val="24"/>
          <w:szCs w:val="24"/>
          <w:u w:val="single"/>
        </w:rPr>
      </w:pPr>
      <w:r w:rsidRPr="000B2596">
        <w:rPr>
          <w:rFonts w:asciiTheme="minorHAnsi" w:eastAsia="Times New Roman" w:hAnsiTheme="minorHAnsi" w:cstheme="minorHAnsi"/>
          <w:b/>
          <w:color w:val="043249"/>
          <w:sz w:val="24"/>
          <w:szCs w:val="24"/>
          <w:lang w:eastAsia="en-IN"/>
        </w:rPr>
        <w:t xml:space="preserve">Prospective candidates should submit their applications by clicking the </w:t>
      </w:r>
      <w:r w:rsidRPr="000B2596">
        <w:rPr>
          <w:rFonts w:asciiTheme="minorHAnsi" w:eastAsia="Times New Roman" w:hAnsiTheme="minorHAnsi" w:cstheme="minorHAnsi"/>
          <w:b/>
          <w:color w:val="0070C0"/>
          <w:sz w:val="24"/>
          <w:szCs w:val="24"/>
          <w:u w:val="single"/>
          <w:lang w:eastAsia="en-IN"/>
        </w:rPr>
        <w:t xml:space="preserve">"Apply Online" </w:t>
      </w:r>
      <w:r w:rsidRPr="000B2596">
        <w:rPr>
          <w:rFonts w:asciiTheme="minorHAnsi" w:eastAsia="Times New Roman" w:hAnsiTheme="minorHAnsi" w:cstheme="minorHAnsi"/>
          <w:b/>
          <w:color w:val="043249"/>
          <w:sz w:val="24"/>
          <w:szCs w:val="24"/>
          <w:lang w:eastAsia="en-IN"/>
        </w:rPr>
        <w:t>button next to the relevant vacancy on our current openings page</w:t>
      </w:r>
      <w:r w:rsidRPr="000B2596">
        <w:rPr>
          <w:rFonts w:asciiTheme="minorHAnsi" w:hAnsiTheme="minorHAnsi" w:cstheme="minorHAnsi"/>
          <w:b/>
          <w:bCs/>
          <w:color w:val="037E57"/>
          <w:sz w:val="24"/>
          <w:szCs w:val="24"/>
          <w:u w:val="single"/>
        </w:rPr>
        <w:t xml:space="preserve"> </w:t>
      </w:r>
      <w:r w:rsidRPr="000B2596">
        <w:rPr>
          <w:rFonts w:asciiTheme="minorHAnsi" w:hAnsiTheme="minorHAnsi" w:cstheme="minorHAnsi"/>
          <w:b/>
          <w:bCs/>
          <w:sz w:val="24"/>
          <w:szCs w:val="24"/>
          <w:u w:val="single"/>
        </w:rPr>
        <w:t>at</w:t>
      </w:r>
      <w:r w:rsidRPr="000B2596">
        <w:rPr>
          <w:rFonts w:asciiTheme="minorHAnsi" w:hAnsiTheme="minorHAnsi" w:cstheme="minorHAnsi"/>
          <w:b/>
          <w:bCs/>
          <w:color w:val="037E57"/>
          <w:sz w:val="24"/>
          <w:szCs w:val="24"/>
          <w:u w:val="single"/>
        </w:rPr>
        <w:t> </w:t>
      </w:r>
      <w:hyperlink r:id="rId7" w:tgtFrame="_blank" w:history="1">
        <w:r w:rsidRPr="000B2596">
          <w:rPr>
            <w:rFonts w:asciiTheme="minorHAnsi" w:hAnsiTheme="minorHAnsi" w:cstheme="minorHAnsi"/>
            <w:b/>
            <w:bCs/>
            <w:color w:val="0000FF" w:themeColor="hyperlink"/>
            <w:sz w:val="24"/>
            <w:szCs w:val="24"/>
            <w:u w:val="single"/>
          </w:rPr>
          <w:t>https://www.khpt.org/work-with-us/</w:t>
        </w:r>
      </w:hyperlink>
      <w:r w:rsidRPr="000B2596">
        <w:rPr>
          <w:rFonts w:asciiTheme="minorHAnsi" w:hAnsiTheme="minorHAnsi" w:cstheme="minorHAnsi"/>
          <w:b/>
          <w:bCs/>
          <w:color w:val="037E57"/>
          <w:sz w:val="24"/>
          <w:szCs w:val="24"/>
          <w:u w:val="single"/>
        </w:rPr>
        <w:t xml:space="preserve">. </w:t>
      </w:r>
    </w:p>
    <w:p w14:paraId="32B6D2C7" w14:textId="1203E061" w:rsidR="00630B31" w:rsidRPr="00C5665C" w:rsidRDefault="00630B31" w:rsidP="00630B31">
      <w:pPr>
        <w:tabs>
          <w:tab w:val="left" w:pos="795"/>
          <w:tab w:val="left" w:pos="796"/>
        </w:tabs>
        <w:spacing w:before="196" w:line="278" w:lineRule="auto"/>
        <w:ind w:right="405"/>
        <w:jc w:val="both"/>
        <w:rPr>
          <w:rFonts w:asciiTheme="minorHAnsi" w:hAnsiTheme="minorHAnsi" w:cstheme="minorHAnsi"/>
          <w:color w:val="000000" w:themeColor="text1"/>
          <w:sz w:val="26"/>
          <w:szCs w:val="26"/>
        </w:rPr>
      </w:pPr>
      <w:r w:rsidRPr="00C5665C">
        <w:rPr>
          <w:rFonts w:asciiTheme="minorHAnsi" w:hAnsiTheme="minorHAnsi" w:cstheme="minorHAnsi"/>
          <w:b/>
          <w:bCs/>
          <w:color w:val="C00000"/>
          <w:sz w:val="26"/>
          <w:szCs w:val="26"/>
          <w:u w:val="single"/>
        </w:rPr>
        <w:t>Th</w:t>
      </w:r>
      <w:r w:rsidR="004D321C" w:rsidRPr="00C5665C">
        <w:rPr>
          <w:rFonts w:asciiTheme="minorHAnsi" w:hAnsiTheme="minorHAnsi" w:cstheme="minorHAnsi"/>
          <w:b/>
          <w:bCs/>
          <w:color w:val="C00000"/>
          <w:sz w:val="26"/>
          <w:szCs w:val="26"/>
          <w:u w:val="single"/>
        </w:rPr>
        <w:t xml:space="preserve">e deadline for submissions is </w:t>
      </w:r>
      <w:r w:rsidR="000D6171" w:rsidRPr="00C5665C">
        <w:rPr>
          <w:rFonts w:asciiTheme="minorHAnsi" w:hAnsiTheme="minorHAnsi" w:cstheme="minorHAnsi"/>
          <w:b/>
          <w:bCs/>
          <w:color w:val="C00000"/>
          <w:sz w:val="26"/>
          <w:szCs w:val="26"/>
          <w:u w:val="single"/>
        </w:rPr>
        <w:t>07</w:t>
      </w:r>
      <w:r w:rsidR="000D6171" w:rsidRPr="00C5665C">
        <w:rPr>
          <w:rFonts w:asciiTheme="minorHAnsi" w:hAnsiTheme="minorHAnsi" w:cstheme="minorHAnsi"/>
          <w:b/>
          <w:bCs/>
          <w:color w:val="C00000"/>
          <w:sz w:val="26"/>
          <w:szCs w:val="26"/>
          <w:u w:val="single"/>
          <w:vertAlign w:val="superscript"/>
        </w:rPr>
        <w:t>th</w:t>
      </w:r>
      <w:r w:rsidR="000D6171" w:rsidRPr="00C5665C">
        <w:rPr>
          <w:rFonts w:asciiTheme="minorHAnsi" w:hAnsiTheme="minorHAnsi" w:cstheme="minorHAnsi"/>
          <w:b/>
          <w:bCs/>
          <w:color w:val="C00000"/>
          <w:sz w:val="26"/>
          <w:szCs w:val="26"/>
          <w:u w:val="single"/>
        </w:rPr>
        <w:t xml:space="preserve"> June, </w:t>
      </w:r>
      <w:r w:rsidR="00C5665C" w:rsidRPr="00C5665C">
        <w:rPr>
          <w:rFonts w:asciiTheme="minorHAnsi" w:hAnsiTheme="minorHAnsi" w:cstheme="minorHAnsi"/>
          <w:b/>
          <w:bCs/>
          <w:color w:val="C00000"/>
          <w:sz w:val="26"/>
          <w:szCs w:val="26"/>
          <w:u w:val="single"/>
        </w:rPr>
        <w:t>2026.</w:t>
      </w:r>
      <w:bookmarkStart w:id="0" w:name="_GoBack"/>
      <w:bookmarkEnd w:id="0"/>
    </w:p>
    <w:p w14:paraId="2AC0F130" w14:textId="77777777" w:rsidR="00630B31" w:rsidRPr="000B2596" w:rsidRDefault="00630B31" w:rsidP="00630B31">
      <w:pPr>
        <w:pStyle w:val="Heading2"/>
        <w:spacing w:before="188"/>
        <w:ind w:left="0" w:right="108"/>
        <w:rPr>
          <w:rFonts w:asciiTheme="minorHAnsi" w:eastAsia="Times New Roman" w:hAnsiTheme="minorHAnsi" w:cstheme="minorHAnsi"/>
          <w:bCs w:val="0"/>
          <w:color w:val="043249"/>
          <w:sz w:val="24"/>
          <w:szCs w:val="24"/>
          <w:lang w:val="en-IN" w:eastAsia="en-IN"/>
        </w:rPr>
      </w:pPr>
    </w:p>
    <w:p w14:paraId="46F1908F" w14:textId="77777777" w:rsidR="00630B31" w:rsidRPr="000B2596" w:rsidRDefault="00630B31" w:rsidP="00630B31">
      <w:pPr>
        <w:pStyle w:val="gmail-msobodytext"/>
        <w:spacing w:before="4" w:beforeAutospacing="0" w:after="0" w:afterAutospacing="0"/>
        <w:jc w:val="both"/>
        <w:rPr>
          <w:rFonts w:asciiTheme="minorHAnsi" w:hAnsiTheme="minorHAnsi" w:cstheme="minorHAnsi"/>
          <w:b/>
          <w:color w:val="043249"/>
        </w:rPr>
      </w:pPr>
    </w:p>
    <w:p w14:paraId="3C439AC9" w14:textId="77777777" w:rsidR="00630B31" w:rsidRPr="000B2596" w:rsidRDefault="00630B31" w:rsidP="000E5F63">
      <w:pPr>
        <w:pStyle w:val="BodyText"/>
        <w:rPr>
          <w:rFonts w:asciiTheme="minorHAnsi" w:hAnsiTheme="minorHAnsi" w:cstheme="minorHAnsi"/>
          <w:sz w:val="24"/>
          <w:szCs w:val="24"/>
        </w:rPr>
      </w:pPr>
    </w:p>
    <w:sectPr w:rsidR="00630B31" w:rsidRPr="000B2596" w:rsidSect="004D321C">
      <w:headerReference w:type="default" r:id="rId8"/>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E4746" w14:textId="77777777" w:rsidR="00B135AD" w:rsidRDefault="00B135AD" w:rsidP="00E1402D">
      <w:r>
        <w:separator/>
      </w:r>
    </w:p>
  </w:endnote>
  <w:endnote w:type="continuationSeparator" w:id="0">
    <w:p w14:paraId="08F10127" w14:textId="77777777" w:rsidR="00B135AD" w:rsidRDefault="00B135A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F8AA7" w14:textId="77777777" w:rsidR="00B135AD" w:rsidRDefault="00B135AD" w:rsidP="00E1402D">
      <w:r>
        <w:separator/>
      </w:r>
    </w:p>
  </w:footnote>
  <w:footnote w:type="continuationSeparator" w:id="0">
    <w:p w14:paraId="5CF7275F" w14:textId="77777777" w:rsidR="00B135AD" w:rsidRDefault="00B135A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D6819" w14:textId="77777777" w:rsidR="00E1402D" w:rsidRPr="00E1402D" w:rsidRDefault="00C01C9F" w:rsidP="00E1402D">
    <w:pPr>
      <w:pStyle w:val="Header"/>
    </w:pPr>
    <w:r>
      <w:rPr>
        <w:rFonts w:asciiTheme="minorHAnsi" w:hAnsiTheme="minorHAnsi" w:cstheme="minorHAnsi"/>
        <w:b/>
        <w:color w:val="043249"/>
        <w:sz w:val="28"/>
        <w:szCs w:val="28"/>
      </w:rPr>
      <w:t>2</w:t>
    </w:r>
    <w:r w:rsidR="000B2596">
      <w:rPr>
        <w:rFonts w:asciiTheme="minorHAnsi" w:hAnsiTheme="minorHAnsi" w:cstheme="minorHAnsi"/>
        <w:b/>
        <w:color w:val="043249"/>
        <w:sz w:val="28"/>
        <w:szCs w:val="28"/>
      </w:rPr>
      <w:t>5</w:t>
    </w:r>
    <w:r w:rsidR="000B2596" w:rsidRPr="000B2596">
      <w:rPr>
        <w:rFonts w:asciiTheme="minorHAnsi" w:hAnsiTheme="minorHAnsi" w:cstheme="minorHAnsi"/>
        <w:b/>
        <w:color w:val="043249"/>
        <w:sz w:val="28"/>
        <w:szCs w:val="28"/>
        <w:vertAlign w:val="superscript"/>
      </w:rPr>
      <w:t>th</w:t>
    </w:r>
    <w:r w:rsidR="000B2596">
      <w:rPr>
        <w:rFonts w:asciiTheme="minorHAnsi" w:hAnsiTheme="minorHAnsi" w:cstheme="minorHAnsi"/>
        <w:b/>
        <w:color w:val="043249"/>
        <w:sz w:val="28"/>
        <w:szCs w:val="28"/>
      </w:rPr>
      <w:t xml:space="preserve"> </w:t>
    </w:r>
    <w:r>
      <w:rPr>
        <w:rFonts w:asciiTheme="minorHAnsi" w:hAnsiTheme="minorHAnsi" w:cstheme="minorHAnsi"/>
        <w:b/>
        <w:color w:val="043249"/>
        <w:sz w:val="28"/>
        <w:szCs w:val="28"/>
      </w:rPr>
      <w:t>May</w:t>
    </w:r>
    <w:r w:rsidR="00A47DB3">
      <w:rPr>
        <w:rFonts w:asciiTheme="minorHAnsi" w:hAnsiTheme="minorHAnsi" w:cstheme="minorHAnsi"/>
        <w:b/>
        <w:color w:val="043249"/>
        <w:sz w:val="28"/>
        <w:szCs w:val="28"/>
      </w:rPr>
      <w:t xml:space="preserve"> </w:t>
    </w:r>
    <w:r w:rsidR="00320E3A">
      <w:rPr>
        <w:rFonts w:asciiTheme="minorHAnsi" w:hAnsiTheme="minorHAnsi" w:cstheme="minorHAnsi"/>
        <w:b/>
        <w:color w:val="043249"/>
        <w:sz w:val="28"/>
        <w:szCs w:val="28"/>
      </w:rPr>
      <w:t>2026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247F"/>
    <w:multiLevelType w:val="hybridMultilevel"/>
    <w:tmpl w:val="A0F0958E"/>
    <w:lvl w:ilvl="0" w:tplc="40090001">
      <w:start w:val="1"/>
      <w:numFmt w:val="bullet"/>
      <w:lvlText w:val=""/>
      <w:lvlJc w:val="left"/>
      <w:pPr>
        <w:ind w:left="760" w:hanging="360"/>
      </w:pPr>
      <w:rPr>
        <w:rFonts w:ascii="Symbol" w:hAnsi="Symbol" w:hint="default"/>
      </w:rPr>
    </w:lvl>
    <w:lvl w:ilvl="1" w:tplc="40090003" w:tentative="1">
      <w:start w:val="1"/>
      <w:numFmt w:val="bullet"/>
      <w:lvlText w:val="o"/>
      <w:lvlJc w:val="left"/>
      <w:pPr>
        <w:ind w:left="1480" w:hanging="360"/>
      </w:pPr>
      <w:rPr>
        <w:rFonts w:ascii="Courier New" w:hAnsi="Courier New" w:cs="Courier New" w:hint="default"/>
      </w:rPr>
    </w:lvl>
    <w:lvl w:ilvl="2" w:tplc="40090005" w:tentative="1">
      <w:start w:val="1"/>
      <w:numFmt w:val="bullet"/>
      <w:lvlText w:val=""/>
      <w:lvlJc w:val="left"/>
      <w:pPr>
        <w:ind w:left="2200" w:hanging="360"/>
      </w:pPr>
      <w:rPr>
        <w:rFonts w:ascii="Wingdings" w:hAnsi="Wingdings" w:hint="default"/>
      </w:rPr>
    </w:lvl>
    <w:lvl w:ilvl="3" w:tplc="40090001" w:tentative="1">
      <w:start w:val="1"/>
      <w:numFmt w:val="bullet"/>
      <w:lvlText w:val=""/>
      <w:lvlJc w:val="left"/>
      <w:pPr>
        <w:ind w:left="2920" w:hanging="360"/>
      </w:pPr>
      <w:rPr>
        <w:rFonts w:ascii="Symbol" w:hAnsi="Symbol" w:hint="default"/>
      </w:rPr>
    </w:lvl>
    <w:lvl w:ilvl="4" w:tplc="40090003" w:tentative="1">
      <w:start w:val="1"/>
      <w:numFmt w:val="bullet"/>
      <w:lvlText w:val="o"/>
      <w:lvlJc w:val="left"/>
      <w:pPr>
        <w:ind w:left="3640" w:hanging="360"/>
      </w:pPr>
      <w:rPr>
        <w:rFonts w:ascii="Courier New" w:hAnsi="Courier New" w:cs="Courier New" w:hint="default"/>
      </w:rPr>
    </w:lvl>
    <w:lvl w:ilvl="5" w:tplc="40090005" w:tentative="1">
      <w:start w:val="1"/>
      <w:numFmt w:val="bullet"/>
      <w:lvlText w:val=""/>
      <w:lvlJc w:val="left"/>
      <w:pPr>
        <w:ind w:left="4360" w:hanging="360"/>
      </w:pPr>
      <w:rPr>
        <w:rFonts w:ascii="Wingdings" w:hAnsi="Wingdings" w:hint="default"/>
      </w:rPr>
    </w:lvl>
    <w:lvl w:ilvl="6" w:tplc="40090001" w:tentative="1">
      <w:start w:val="1"/>
      <w:numFmt w:val="bullet"/>
      <w:lvlText w:val=""/>
      <w:lvlJc w:val="left"/>
      <w:pPr>
        <w:ind w:left="5080" w:hanging="360"/>
      </w:pPr>
      <w:rPr>
        <w:rFonts w:ascii="Symbol" w:hAnsi="Symbol" w:hint="default"/>
      </w:rPr>
    </w:lvl>
    <w:lvl w:ilvl="7" w:tplc="40090003" w:tentative="1">
      <w:start w:val="1"/>
      <w:numFmt w:val="bullet"/>
      <w:lvlText w:val="o"/>
      <w:lvlJc w:val="left"/>
      <w:pPr>
        <w:ind w:left="5800" w:hanging="360"/>
      </w:pPr>
      <w:rPr>
        <w:rFonts w:ascii="Courier New" w:hAnsi="Courier New" w:cs="Courier New" w:hint="default"/>
      </w:rPr>
    </w:lvl>
    <w:lvl w:ilvl="8" w:tplc="40090005" w:tentative="1">
      <w:start w:val="1"/>
      <w:numFmt w:val="bullet"/>
      <w:lvlText w:val=""/>
      <w:lvlJc w:val="left"/>
      <w:pPr>
        <w:ind w:left="6520" w:hanging="360"/>
      </w:pPr>
      <w:rPr>
        <w:rFonts w:ascii="Wingdings" w:hAnsi="Wingdings" w:hint="default"/>
      </w:rPr>
    </w:lvl>
  </w:abstractNum>
  <w:abstractNum w:abstractNumId="3" w15:restartNumberingAfterBreak="0">
    <w:nsid w:val="11970D9C"/>
    <w:multiLevelType w:val="multilevel"/>
    <w:tmpl w:val="B824E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877EE"/>
    <w:multiLevelType w:val="multilevel"/>
    <w:tmpl w:val="670251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02A7D"/>
    <w:multiLevelType w:val="multilevel"/>
    <w:tmpl w:val="954879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34BF7"/>
    <w:multiLevelType w:val="multilevel"/>
    <w:tmpl w:val="2C8EC1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61657AA"/>
    <w:multiLevelType w:val="hybridMultilevel"/>
    <w:tmpl w:val="C5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460E2"/>
    <w:multiLevelType w:val="multilevel"/>
    <w:tmpl w:val="1164A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7"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161E0"/>
    <w:multiLevelType w:val="multilevel"/>
    <w:tmpl w:val="4678F1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B45788"/>
    <w:multiLevelType w:val="multilevel"/>
    <w:tmpl w:val="993C10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35E127E"/>
    <w:multiLevelType w:val="multilevel"/>
    <w:tmpl w:val="20AE1B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830730B"/>
    <w:multiLevelType w:val="multilevel"/>
    <w:tmpl w:val="69A4235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D940AD8"/>
    <w:multiLevelType w:val="multilevel"/>
    <w:tmpl w:val="644AD7F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B77C62"/>
    <w:multiLevelType w:val="hybridMultilevel"/>
    <w:tmpl w:val="1B447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A96DF0"/>
    <w:multiLevelType w:val="hybridMultilevel"/>
    <w:tmpl w:val="D024A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904B98"/>
    <w:multiLevelType w:val="multilevel"/>
    <w:tmpl w:val="B48CEA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6"/>
  </w:num>
  <w:num w:numId="2">
    <w:abstractNumId w:val="25"/>
  </w:num>
  <w:num w:numId="3">
    <w:abstractNumId w:val="17"/>
  </w:num>
  <w:num w:numId="4">
    <w:abstractNumId w:val="13"/>
  </w:num>
  <w:num w:numId="5">
    <w:abstractNumId w:val="20"/>
  </w:num>
  <w:num w:numId="6">
    <w:abstractNumId w:val="30"/>
  </w:num>
  <w:num w:numId="7">
    <w:abstractNumId w:val="32"/>
  </w:num>
  <w:num w:numId="8">
    <w:abstractNumId w:val="4"/>
  </w:num>
  <w:num w:numId="9">
    <w:abstractNumId w:val="14"/>
  </w:num>
  <w:num w:numId="10">
    <w:abstractNumId w:val="7"/>
  </w:num>
  <w:num w:numId="11">
    <w:abstractNumId w:val="28"/>
  </w:num>
  <w:num w:numId="12">
    <w:abstractNumId w:val="10"/>
  </w:num>
  <w:num w:numId="13">
    <w:abstractNumId w:val="0"/>
  </w:num>
  <w:num w:numId="14">
    <w:abstractNumId w:val="15"/>
  </w:num>
  <w:num w:numId="15">
    <w:abstractNumId w:val="18"/>
  </w:num>
  <w:num w:numId="16">
    <w:abstractNumId w:val="27"/>
  </w:num>
  <w:num w:numId="17">
    <w:abstractNumId w:val="5"/>
  </w:num>
  <w:num w:numId="18">
    <w:abstractNumId w:val="1"/>
  </w:num>
  <w:num w:numId="19">
    <w:abstractNumId w:val="12"/>
  </w:num>
  <w:num w:numId="20">
    <w:abstractNumId w:val="29"/>
  </w:num>
  <w:num w:numId="21">
    <w:abstractNumId w:val="24"/>
  </w:num>
  <w:num w:numId="22">
    <w:abstractNumId w:val="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1"/>
  </w:num>
  <w:num w:numId="27">
    <w:abstractNumId w:val="2"/>
  </w:num>
  <w:num w:numId="28">
    <w:abstractNumId w:val="6"/>
  </w:num>
  <w:num w:numId="29">
    <w:abstractNumId w:val="33"/>
  </w:num>
  <w:num w:numId="30">
    <w:abstractNumId w:val="26"/>
  </w:num>
  <w:num w:numId="31">
    <w:abstractNumId w:val="21"/>
  </w:num>
  <w:num w:numId="32">
    <w:abstractNumId w:val="23"/>
  </w:num>
  <w:num w:numId="33">
    <w:abstractNumId w:val="19"/>
  </w:num>
  <w:num w:numId="34">
    <w:abstractNumId w:val="8"/>
  </w:num>
  <w:num w:numId="3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B2596"/>
    <w:rsid w:val="000C2254"/>
    <w:rsid w:val="000D6171"/>
    <w:rsid w:val="000E342E"/>
    <w:rsid w:val="000E5F63"/>
    <w:rsid w:val="001151CC"/>
    <w:rsid w:val="00122348"/>
    <w:rsid w:val="001330D5"/>
    <w:rsid w:val="0013542F"/>
    <w:rsid w:val="001469BA"/>
    <w:rsid w:val="00156201"/>
    <w:rsid w:val="0016125F"/>
    <w:rsid w:val="00172259"/>
    <w:rsid w:val="0017407C"/>
    <w:rsid w:val="00180858"/>
    <w:rsid w:val="001A055D"/>
    <w:rsid w:val="001A235B"/>
    <w:rsid w:val="001C231E"/>
    <w:rsid w:val="001D16D6"/>
    <w:rsid w:val="001D364C"/>
    <w:rsid w:val="001E10CA"/>
    <w:rsid w:val="001F484C"/>
    <w:rsid w:val="00203CF9"/>
    <w:rsid w:val="002336FC"/>
    <w:rsid w:val="002577B0"/>
    <w:rsid w:val="0027182B"/>
    <w:rsid w:val="00292509"/>
    <w:rsid w:val="002E2377"/>
    <w:rsid w:val="002E614C"/>
    <w:rsid w:val="00301E96"/>
    <w:rsid w:val="0031200E"/>
    <w:rsid w:val="00320E3A"/>
    <w:rsid w:val="00324BC6"/>
    <w:rsid w:val="0034081C"/>
    <w:rsid w:val="003462EC"/>
    <w:rsid w:val="00353965"/>
    <w:rsid w:val="00356302"/>
    <w:rsid w:val="00367BCD"/>
    <w:rsid w:val="0037283D"/>
    <w:rsid w:val="003A7BCA"/>
    <w:rsid w:val="003C548C"/>
    <w:rsid w:val="003D33A5"/>
    <w:rsid w:val="003D5E79"/>
    <w:rsid w:val="003E6662"/>
    <w:rsid w:val="003F6E65"/>
    <w:rsid w:val="00432397"/>
    <w:rsid w:val="00435067"/>
    <w:rsid w:val="00437AA0"/>
    <w:rsid w:val="00452349"/>
    <w:rsid w:val="004B7E09"/>
    <w:rsid w:val="004C02D4"/>
    <w:rsid w:val="004C53C4"/>
    <w:rsid w:val="004D321C"/>
    <w:rsid w:val="00506865"/>
    <w:rsid w:val="00515D82"/>
    <w:rsid w:val="00534446"/>
    <w:rsid w:val="005527CF"/>
    <w:rsid w:val="00555431"/>
    <w:rsid w:val="00562C3C"/>
    <w:rsid w:val="00585984"/>
    <w:rsid w:val="005A2DC9"/>
    <w:rsid w:val="005A3660"/>
    <w:rsid w:val="0062415B"/>
    <w:rsid w:val="00630B31"/>
    <w:rsid w:val="00632C74"/>
    <w:rsid w:val="00634617"/>
    <w:rsid w:val="006366FF"/>
    <w:rsid w:val="00644797"/>
    <w:rsid w:val="00645E39"/>
    <w:rsid w:val="00670638"/>
    <w:rsid w:val="006C11A1"/>
    <w:rsid w:val="00714BED"/>
    <w:rsid w:val="00787CC1"/>
    <w:rsid w:val="00787D26"/>
    <w:rsid w:val="0079187F"/>
    <w:rsid w:val="00793A8D"/>
    <w:rsid w:val="007C6488"/>
    <w:rsid w:val="007D63D2"/>
    <w:rsid w:val="007E4401"/>
    <w:rsid w:val="007F346F"/>
    <w:rsid w:val="007F5545"/>
    <w:rsid w:val="008043EA"/>
    <w:rsid w:val="00836B59"/>
    <w:rsid w:val="00851101"/>
    <w:rsid w:val="008A6C93"/>
    <w:rsid w:val="008C434C"/>
    <w:rsid w:val="008D592A"/>
    <w:rsid w:val="008D703A"/>
    <w:rsid w:val="008E5CDA"/>
    <w:rsid w:val="008E664C"/>
    <w:rsid w:val="008F7B82"/>
    <w:rsid w:val="009038EA"/>
    <w:rsid w:val="00904E3C"/>
    <w:rsid w:val="0094081C"/>
    <w:rsid w:val="00947058"/>
    <w:rsid w:val="00955C11"/>
    <w:rsid w:val="009560B5"/>
    <w:rsid w:val="009640F3"/>
    <w:rsid w:val="00964BDF"/>
    <w:rsid w:val="00966C0E"/>
    <w:rsid w:val="009852F1"/>
    <w:rsid w:val="00985F1A"/>
    <w:rsid w:val="009A318C"/>
    <w:rsid w:val="009D5C7C"/>
    <w:rsid w:val="009D6043"/>
    <w:rsid w:val="009E1A9A"/>
    <w:rsid w:val="00A10BB7"/>
    <w:rsid w:val="00A14E78"/>
    <w:rsid w:val="00A30043"/>
    <w:rsid w:val="00A432DA"/>
    <w:rsid w:val="00A47DB3"/>
    <w:rsid w:val="00A55D44"/>
    <w:rsid w:val="00A62A01"/>
    <w:rsid w:val="00A63960"/>
    <w:rsid w:val="00AB21C4"/>
    <w:rsid w:val="00AD1889"/>
    <w:rsid w:val="00AE28CF"/>
    <w:rsid w:val="00AF0386"/>
    <w:rsid w:val="00B10B4C"/>
    <w:rsid w:val="00B135AD"/>
    <w:rsid w:val="00B20A33"/>
    <w:rsid w:val="00B27688"/>
    <w:rsid w:val="00B3470C"/>
    <w:rsid w:val="00B50466"/>
    <w:rsid w:val="00B533E1"/>
    <w:rsid w:val="00B75C0E"/>
    <w:rsid w:val="00B76038"/>
    <w:rsid w:val="00B763AF"/>
    <w:rsid w:val="00B76C71"/>
    <w:rsid w:val="00B8234F"/>
    <w:rsid w:val="00B9508C"/>
    <w:rsid w:val="00BA6CF6"/>
    <w:rsid w:val="00BB079D"/>
    <w:rsid w:val="00BB736C"/>
    <w:rsid w:val="00BD4C37"/>
    <w:rsid w:val="00BD5D71"/>
    <w:rsid w:val="00BE2AA1"/>
    <w:rsid w:val="00BF4D87"/>
    <w:rsid w:val="00C01C9F"/>
    <w:rsid w:val="00C04AB7"/>
    <w:rsid w:val="00C137A1"/>
    <w:rsid w:val="00C31042"/>
    <w:rsid w:val="00C32545"/>
    <w:rsid w:val="00C505CF"/>
    <w:rsid w:val="00C54CD5"/>
    <w:rsid w:val="00C5665C"/>
    <w:rsid w:val="00C76B96"/>
    <w:rsid w:val="00C827D7"/>
    <w:rsid w:val="00CB0F1A"/>
    <w:rsid w:val="00CD0568"/>
    <w:rsid w:val="00CD53B9"/>
    <w:rsid w:val="00CD53DA"/>
    <w:rsid w:val="00CF1D89"/>
    <w:rsid w:val="00D06071"/>
    <w:rsid w:val="00D170C2"/>
    <w:rsid w:val="00D17997"/>
    <w:rsid w:val="00D3705D"/>
    <w:rsid w:val="00D50344"/>
    <w:rsid w:val="00E04A74"/>
    <w:rsid w:val="00E1402D"/>
    <w:rsid w:val="00E24FC8"/>
    <w:rsid w:val="00E56A62"/>
    <w:rsid w:val="00E66247"/>
    <w:rsid w:val="00E746BE"/>
    <w:rsid w:val="00E8718D"/>
    <w:rsid w:val="00EA0592"/>
    <w:rsid w:val="00EB38B3"/>
    <w:rsid w:val="00ED3594"/>
    <w:rsid w:val="00EE1E82"/>
    <w:rsid w:val="00F12A0E"/>
    <w:rsid w:val="00F35BAC"/>
    <w:rsid w:val="00F46A85"/>
    <w:rsid w:val="00F60F59"/>
    <w:rsid w:val="00F81F87"/>
    <w:rsid w:val="00F824F4"/>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 w:type="paragraph" w:customStyle="1" w:styleId="xmsonormal">
    <w:name w:val="x_msonormal"/>
    <w:basedOn w:val="Normal"/>
    <w:rsid w:val="00C01C9F"/>
    <w:pPr>
      <w:widowControl/>
      <w:autoSpaceDE/>
      <w:autoSpaceDN/>
      <w:spacing w:after="160" w:line="276" w:lineRule="auto"/>
    </w:pPr>
    <w:rPr>
      <w:rFonts w:ascii="Calibri" w:eastAsiaTheme="minorHAnsi" w:hAnsi="Calibri" w:cs="Calibri"/>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13138123">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06190321">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802117384">
      <w:bodyDiv w:val="1"/>
      <w:marLeft w:val="0"/>
      <w:marRight w:val="0"/>
      <w:marTop w:val="0"/>
      <w:marBottom w:val="0"/>
      <w:divBdr>
        <w:top w:val="none" w:sz="0" w:space="0" w:color="auto"/>
        <w:left w:val="none" w:sz="0" w:space="0" w:color="auto"/>
        <w:bottom w:val="none" w:sz="0" w:space="0" w:color="auto"/>
        <w:right w:val="none" w:sz="0" w:space="0" w:color="auto"/>
      </w:divBdr>
    </w:div>
    <w:div w:id="1116094778">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6604751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17891680">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23461922">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77</cp:revision>
  <dcterms:created xsi:type="dcterms:W3CDTF">2022-05-11T06:09:00Z</dcterms:created>
  <dcterms:modified xsi:type="dcterms:W3CDTF">2026-05-25T05:44:00Z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